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media/image2.wmf" ContentType="image/x-wmf"/>
  <Override PartName="/word/media/image1.jpeg" ContentType="image/jpeg"/>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TextBody"/>
        <w:spacing w:before="0" w:after="120"/>
        <w:ind w:left="0" w:right="2772" w:hanging="0"/>
        <w:rPr/>
      </w:pPr>
      <w:r>
        <w:rPr/>
      </w:r>
      <w:r>
        <w:pict>
          <v:rect fillcolor="#FFFFFF" style="position:absolute;width:612pt;height:792pt;mso-wrap-distance-left:0pt;mso-wrap-distance-right:9pt;margin-top:22.2pt;margin-left:-5.4pt">
            <v:fill opacity="0f"/>
            <v:textbox>
              <w:txbxContent>
                <w:tbl>
                  <w:tblPr>
                    <w:jc w:val="left"/>
                    <w:tblInd w:w="108" w:type="dxa"/>
                    <w:tblBorders>
                      <w:top w:val="nil"/>
                      <w:left w:val="nil"/>
                      <w:bottom w:val="nil"/>
                      <w:insideH w:val="nil"/>
                      <w:right w:val="nil"/>
                      <w:insideV w:val="nil"/>
                    </w:tblBorders>
                    <w:tblCellMar>
                      <w:top w:w="0" w:type="dxa"/>
                      <w:left w:w="108" w:type="dxa"/>
                      <w:bottom w:w="0" w:type="dxa"/>
                      <w:right w:w="108" w:type="dxa"/>
                    </w:tblCellMar>
                  </w:tblPr>
                  <w:tblGrid>
                    <w:gridCol w:w="2691"/>
                    <w:gridCol w:w="8397"/>
                    <w:gridCol w:w="2160"/>
                  </w:tblGrid>
                  <w:tr>
                    <w:trPr>
                      <w:cantSplit w:val="false"/>
                    </w:trPr>
                    <w:tc>
                      <w:tcPr>
                        <w:tcW w:w="2691" w:type="dxa"/>
                        <w:tcBorders>
                          <w:top w:val="nil"/>
                          <w:left w:val="nil"/>
                          <w:bottom w:val="nil"/>
                          <w:insideH w:val="nil"/>
                          <w:right w:val="nil"/>
                          <w:insideV w:val="nil"/>
                        </w:tcBorders>
                        <w:shd w:fill="auto" w:val="clear"/>
                      </w:tcPr>
                      <w:p>
                        <w:pPr>
                          <w:pStyle w:val="TextBody"/>
                          <w:snapToGrid w:val="false"/>
                          <w:spacing w:before="0" w:after="120"/>
                          <w:rPr/>
                        </w:pPr>
                        <w:r>
                          <w:rPr/>
                        </w:r>
                      </w:p>
                    </w:tc>
                    <w:tc>
                      <w:tcPr>
                        <w:tcW w:w="8397" w:type="dxa"/>
                        <w:tcBorders>
                          <w:top w:val="nil"/>
                          <w:left w:val="nil"/>
                          <w:bottom w:val="nil"/>
                          <w:insideH w:val="nil"/>
                          <w:right w:val="nil"/>
                          <w:insideV w:val="nil"/>
                        </w:tcBorders>
                        <w:shd w:fill="auto" w:val="clear"/>
                      </w:tcPr>
                      <w:p>
                        <w:pPr>
                          <w:pStyle w:val="TextBody"/>
                          <w:snapToGrid w:val="false"/>
                          <w:spacing w:before="0" w:after="120"/>
                          <w:rPr/>
                        </w:pPr>
                        <w:r>
                          <w:rPr/>
                        </w:r>
                      </w:p>
                    </w:tc>
                    <w:tc>
                      <w:tcPr>
                        <w:tcW w:w="2160" w:type="dxa"/>
                        <w:tcBorders>
                          <w:top w:val="nil"/>
                          <w:left w:val="nil"/>
                          <w:bottom w:val="nil"/>
                          <w:insideH w:val="nil"/>
                          <w:right w:val="nil"/>
                          <w:insideV w:val="nil"/>
                        </w:tcBorders>
                        <w:shd w:fill="auto" w:val="clear"/>
                        <w:tcMar>
                          <w:left w:w="0" w:type="dxa"/>
                          <w:right w:w="0" w:type="dxa"/>
                        </w:tcMar>
                      </w:tcPr>
                      <w:p>
                        <w:pPr>
                          <w:pStyle w:val="Normal"/>
                          <w:snapToGrid w:val="false"/>
                          <w:rPr>
                            <w:rFonts w:cs="Verdana" w:ascii="Verdana" w:hAnsi="Verdana"/>
                            <w:sz w:val="20"/>
                            <w:szCs w:val="20"/>
                          </w:rPr>
                        </w:pPr>
                        <w:r>
                          <w:rPr>
                            <w:rFonts w:cs="Verdana" w:ascii="Verdana" w:hAnsi="Verdana"/>
                            <w:sz w:val="20"/>
                            <w:szCs w:val="20"/>
                          </w:rPr>
                        </w:r>
                      </w:p>
                    </w:tc>
                  </w:tr>
                  <w:tr>
                    <w:trPr>
                      <w:trHeight w:val="1440" w:hRule="atLeast"/>
                      <w:cantSplit w:val="false"/>
                    </w:trPr>
                    <w:tc>
                      <w:tcPr>
                        <w:tcW w:w="2691" w:type="dxa"/>
                        <w:tcBorders>
                          <w:top w:val="nil"/>
                          <w:left w:val="nil"/>
                          <w:bottom w:val="nil"/>
                          <w:insideH w:val="nil"/>
                          <w:right w:val="nil"/>
                          <w:insideV w:val="nil"/>
                        </w:tcBorders>
                        <w:shd w:fill="auto" w:val="clear"/>
                        <w:vAlign w:val="center"/>
                      </w:tcPr>
                      <w:p>
                        <w:pPr>
                          <w:pStyle w:val="NewsletterTitle"/>
                          <w:rPr>
                            <w:rFonts w:cs="Verdana" w:ascii="Verdana" w:hAnsi="Verdana"/>
                          </w:rPr>
                        </w:pPr>
                        <w:bookmarkStart w:id="0" w:name="_top"/>
                        <w:bookmarkEnd w:id="0"/>
                        <w:r>
                          <w:rPr>
                            <w:rFonts w:cs="Verdana" w:ascii="Verdana" w:hAnsi="Verdana"/>
                          </w:rPr>
                          <w:drawing>
                            <wp:inline distT="0" distB="0" distL="0" distR="0">
                              <wp:extent cx="1072515" cy="781685"/>
                              <wp:effectExtent l="0" t="0" r="0" b="0"/>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72515" cy="781685"/>
                                      </a:xfrm>
                                      <a:prstGeom prst="rect">
                                        <a:avLst/>
                                      </a:prstGeom>
                                      <a:noFill/>
                                      <a:ln w="9525">
                                        <a:noFill/>
                                        <a:miter lim="800000"/>
                                        <a:headEnd/>
                                        <a:tailEnd/>
                                      </a:ln>
                                    </pic:spPr>
                                  </pic:pic>
                                </a:graphicData>
                              </a:graphic>
                            </wp:inline>
                          </w:drawing>
                        </w:r>
                      </w:p>
                    </w:tc>
                    <w:tc>
                      <w:tcPr>
                        <w:tcW w:w="8397" w:type="dxa"/>
                        <w:tcBorders>
                          <w:top w:val="nil"/>
                          <w:left w:val="nil"/>
                          <w:bottom w:val="nil"/>
                          <w:insideH w:val="nil"/>
                          <w:right w:val="nil"/>
                          <w:insideV w:val="nil"/>
                        </w:tcBorders>
                        <w:shd w:fill="auto" w:val="clear"/>
                        <w:vAlign w:val="center"/>
                      </w:tcPr>
                      <w:p>
                        <w:pPr>
                          <w:pStyle w:val="NewsletterTitle"/>
                          <w:rPr>
                            <w:rFonts w:cs="Verdana" w:ascii="Verdana" w:hAnsi="Verdana"/>
                            <w:color w:val="000000"/>
                            <w:sz w:val="56"/>
                            <w:szCs w:val="56"/>
                          </w:rPr>
                        </w:pPr>
                        <w:r>
                          <w:rPr>
                            <w:rFonts w:cs="Verdana" w:ascii="Verdana" w:hAnsi="Verdana"/>
                            <w:color w:val="000000"/>
                            <w:sz w:val="56"/>
                            <w:szCs w:val="56"/>
                          </w:rPr>
                          <w:t>General Accounting Newsletter</w:t>
                        </w:r>
                      </w:p>
                    </w:tc>
                    <w:tc>
                      <w:tcPr>
                        <w:tcW w:w="2160" w:type="dxa"/>
                        <w:tcBorders>
                          <w:top w:val="nil"/>
                          <w:left w:val="nil"/>
                          <w:bottom w:val="nil"/>
                          <w:insideH w:val="nil"/>
                          <w:right w:val="nil"/>
                          <w:insideV w:val="nil"/>
                        </w:tcBorders>
                        <w:shd w:fill="auto" w:val="clear"/>
                        <w:tcMar>
                          <w:left w:w="0" w:type="dxa"/>
                          <w:right w:w="0" w:type="dxa"/>
                        </w:tcMar>
                      </w:tcPr>
                      <w:p>
                        <w:pPr>
                          <w:pStyle w:val="Normal"/>
                          <w:snapToGrid w:val="false"/>
                          <w:rPr>
                            <w:rFonts w:cs="Verdana" w:ascii="Verdana" w:hAnsi="Verdana"/>
                            <w:sz w:val="20"/>
                            <w:szCs w:val="20"/>
                          </w:rPr>
                        </w:pPr>
                        <w:r>
                          <w:rPr>
                            <w:rFonts w:cs="Verdana" w:ascii="Verdana" w:hAnsi="Verdana"/>
                            <w:sz w:val="20"/>
                            <w:szCs w:val="20"/>
                          </w:rPr>
                        </w:r>
                      </w:p>
                    </w:tc>
                  </w:tr>
                  <w:tr>
                    <w:trPr>
                      <w:cantSplit w:val="false"/>
                    </w:trPr>
                    <w:tc>
                      <w:tcPr>
                        <w:tcW w:w="2691" w:type="dxa"/>
                        <w:tcBorders>
                          <w:top w:val="nil"/>
                          <w:left w:val="nil"/>
                          <w:bottom w:val="nil"/>
                          <w:insideH w:val="nil"/>
                          <w:right w:val="nil"/>
                          <w:insideV w:val="nil"/>
                        </w:tcBorders>
                        <w:shd w:fill="003399" w:val="clear"/>
                      </w:tcPr>
                      <w:p>
                        <w:pPr>
                          <w:pStyle w:val="NewsletterDate"/>
                          <w:snapToGrid w:val="false"/>
                          <w:spacing w:before="120" w:after="120"/>
                          <w:rPr>
                            <w:rFonts w:cs="Verdana" w:ascii="Verdana" w:hAnsi="Verdana"/>
                          </w:rPr>
                        </w:pPr>
                        <w:r>
                          <w:rPr>
                            <w:rFonts w:cs="Verdana" w:ascii="Verdana" w:hAnsi="Verdana"/>
                          </w:rPr>
                        </w:r>
                      </w:p>
                    </w:tc>
                    <w:tc>
                      <w:tcPr>
                        <w:tcW w:w="8397" w:type="dxa"/>
                        <w:tcBorders>
                          <w:top w:val="nil"/>
                          <w:left w:val="nil"/>
                          <w:bottom w:val="nil"/>
                          <w:insideH w:val="nil"/>
                          <w:right w:val="nil"/>
                          <w:insideV w:val="nil"/>
                        </w:tcBorders>
                        <w:shd w:fill="003399" w:val="clear"/>
                      </w:tcPr>
                      <w:p>
                        <w:pPr>
                          <w:pStyle w:val="VolumeandIssue"/>
                          <w:spacing w:before="120" w:after="120"/>
                          <w:jc w:val="right"/>
                          <w:rPr>
                            <w:rFonts w:cs="Verdana" w:ascii="Verdana" w:hAnsi="Verdana"/>
                          </w:rPr>
                        </w:pPr>
                        <w:r>
                          <w:rPr>
                            <w:rFonts w:cs="Verdana" w:ascii="Verdana" w:hAnsi="Verdana"/>
                          </w:rPr>
                          <w:t>February 2010</w:t>
                        </w:r>
                      </w:p>
                    </w:tc>
                    <w:tc>
                      <w:tcPr>
                        <w:tcW w:w="2160" w:type="dxa"/>
                        <w:tcBorders>
                          <w:top w:val="nil"/>
                          <w:left w:val="nil"/>
                          <w:bottom w:val="nil"/>
                          <w:insideH w:val="nil"/>
                          <w:right w:val="nil"/>
                          <w:insideV w:val="nil"/>
                        </w:tcBorders>
                        <w:shd w:fill="auto" w:val="clear"/>
                        <w:tcMar>
                          <w:left w:w="0" w:type="dxa"/>
                          <w:right w:w="0" w:type="dxa"/>
                        </w:tcMar>
                      </w:tcPr>
                      <w:p>
                        <w:pPr>
                          <w:pStyle w:val="Normal"/>
                          <w:snapToGrid w:val="false"/>
                          <w:rPr>
                            <w:rFonts w:cs="Verdana" w:ascii="Verdana" w:hAnsi="Verdana"/>
                            <w:sz w:val="20"/>
                            <w:szCs w:val="20"/>
                          </w:rPr>
                        </w:pPr>
                        <w:r>
                          <w:rPr>
                            <w:rFonts w:cs="Verdana" w:ascii="Verdana" w:hAnsi="Verdana"/>
                            <w:sz w:val="20"/>
                            <w:szCs w:val="20"/>
                          </w:rPr>
                        </w:r>
                      </w:p>
                    </w:tc>
                  </w:tr>
                  <w:tr>
                    <w:trPr>
                      <w:cantSplit w:val="false"/>
                    </w:trPr>
                    <w:tc>
                      <w:tcPr>
                        <w:tcW w:w="2691" w:type="dxa"/>
                        <w:tcBorders>
                          <w:top w:val="nil"/>
                          <w:left w:val="nil"/>
                          <w:bottom w:val="nil"/>
                          <w:insideH w:val="nil"/>
                          <w:right w:val="nil"/>
                          <w:insideV w:val="nil"/>
                        </w:tcBorders>
                        <w:shd w:fill="0066CC" w:val="clear"/>
                      </w:tcPr>
                      <w:p>
                        <w:pPr>
                          <w:pStyle w:val="TableofContentsHeading"/>
                          <w:spacing w:before="240" w:after="0"/>
                          <w:rPr>
                            <w:rFonts w:cs="Verdana" w:ascii="Verdana" w:hAnsi="Verdana"/>
                            <w:b/>
                            <w:sz w:val="22"/>
                            <w:szCs w:val="22"/>
                          </w:rPr>
                        </w:pPr>
                        <w:r>
                          <w:rPr>
                            <w:rFonts w:cs="Verdana" w:ascii="Verdana" w:hAnsi="Verdana"/>
                            <w:b/>
                            <w:sz w:val="22"/>
                            <w:szCs w:val="22"/>
                          </w:rPr>
                          <w:t>In This Issue</w:t>
                        </w:r>
                      </w:p>
                      <w:p>
                        <w:pPr>
                          <w:pStyle w:val="TableofContentsEntry"/>
                          <w:ind w:left="0" w:right="0" w:hanging="0"/>
                          <w:rPr/>
                        </w:pPr>
                        <w:r>
                          <w:rPr/>
                        </w:r>
                      </w:p>
                      <w:p>
                        <w:pPr>
                          <w:pStyle w:val="TableofContentsEntry"/>
                          <w:numPr>
                            <w:ilvl w:val="0"/>
                            <w:numId w:val="2"/>
                          </w:numPr>
                          <w:rPr>
                            <w:rStyle w:val="InternetLink"/>
                            <w:color w:val="FFFFFF"/>
                          </w:rPr>
                        </w:pPr>
                        <w:hyperlink w:anchor="_Current_Issues">
                          <w:r>
                            <w:rPr>
                              <w:rStyle w:val="InternetLink"/>
                              <w:color w:val="FFFFFF"/>
                            </w:rPr>
                            <w:t>Current Issues</w:t>
                          </w:r>
                        </w:hyperlink>
                      </w:p>
                      <w:p>
                        <w:pPr>
                          <w:pStyle w:val="TableofContentsEntry"/>
                          <w:numPr>
                            <w:ilvl w:val="0"/>
                            <w:numId w:val="2"/>
                          </w:numPr>
                          <w:rPr>
                            <w:rStyle w:val="InternetLink"/>
                            <w:color w:val="FFFFFF"/>
                          </w:rPr>
                        </w:pPr>
                        <w:hyperlink w:anchor="_General_Accounting_Closure">
                          <w:r>
                            <w:rPr>
                              <w:rStyle w:val="InternetLink"/>
                              <w:color w:val="FFFFFF"/>
                            </w:rPr>
                            <w:t>GA Closure</w:t>
                          </w:r>
                        </w:hyperlink>
                      </w:p>
                      <w:p>
                        <w:pPr>
                          <w:pStyle w:val="TableofContentsEntry"/>
                          <w:numPr>
                            <w:ilvl w:val="0"/>
                            <w:numId w:val="2"/>
                          </w:numPr>
                          <w:rPr>
                            <w:rStyle w:val="InternetLink"/>
                            <w:color w:val="FFFFFF"/>
                          </w:rPr>
                        </w:pPr>
                        <w:hyperlink w:anchor="_Equipment_Management">
                          <w:r>
                            <w:rPr>
                              <w:rStyle w:val="InternetLink"/>
                              <w:color w:val="FFFFFF"/>
                            </w:rPr>
                            <w:t>Equipment Management</w:t>
                          </w:r>
                        </w:hyperlink>
                      </w:p>
                      <w:p>
                        <w:pPr>
                          <w:pStyle w:val="TableofContentsEntry"/>
                          <w:numPr>
                            <w:ilvl w:val="0"/>
                            <w:numId w:val="2"/>
                          </w:numPr>
                          <w:rPr>
                            <w:rStyle w:val="InternetLink"/>
                            <w:color w:val="FFFFFF"/>
                          </w:rPr>
                        </w:pPr>
                        <w:hyperlink w:anchor="_Central_Accounting">
                          <w:r>
                            <w:rPr>
                              <w:rStyle w:val="InternetLink"/>
                              <w:color w:val="FFFFFF"/>
                            </w:rPr>
                            <w:t>Central Accounting (Form 1099)</w:t>
                          </w:r>
                        </w:hyperlink>
                      </w:p>
                      <w:p>
                        <w:pPr>
                          <w:pStyle w:val="TableofContentsEntry"/>
                          <w:numPr>
                            <w:ilvl w:val="0"/>
                            <w:numId w:val="2"/>
                          </w:numPr>
                          <w:rPr>
                            <w:rStyle w:val="InternetLink"/>
                            <w:color w:val="FFFFFF"/>
                          </w:rPr>
                        </w:pPr>
                        <w:hyperlink w:anchor="_Cash_&amp;_Banking">
                          <w:r>
                            <w:rPr>
                              <w:rStyle w:val="InternetLink"/>
                              <w:color w:val="FFFFFF"/>
                            </w:rPr>
                            <w:t>Cash &amp; Banking</w:t>
                          </w:r>
                        </w:hyperlink>
                      </w:p>
                      <w:p>
                        <w:pPr>
                          <w:pStyle w:val="SideBarHeading"/>
                          <w:rPr>
                            <w:rFonts w:cs="Verdana" w:ascii="Verdana" w:hAnsi="Verdana"/>
                          </w:rPr>
                        </w:pPr>
                        <w:r>
                          <w:rPr>
                            <w:rFonts w:cs="Verdana" w:ascii="Verdana" w:hAnsi="Verdana"/>
                          </w:rPr>
                          <w:t>GA Links</w:t>
                        </w:r>
                      </w:p>
                      <w:p>
                        <w:pPr>
                          <w:pStyle w:val="Links"/>
                          <w:rPr>
                            <w:rStyle w:val="InternetLink"/>
                            <w:color w:val="FFFFFF"/>
                          </w:rPr>
                        </w:pPr>
                        <w:hyperlink r:id="rId3">
                          <w:r>
                            <w:rPr>
                              <w:rStyle w:val="InternetLink"/>
                              <w:color w:val="FFFFFF"/>
                            </w:rPr>
                            <w:t>GA Mission</w:t>
                          </w:r>
                        </w:hyperlink>
                      </w:p>
                      <w:p>
                        <w:pPr>
                          <w:pStyle w:val="Links"/>
                          <w:rPr>
                            <w:rStyle w:val="InternetLink"/>
                            <w:color w:val="FFFFFF"/>
                          </w:rPr>
                        </w:pPr>
                        <w:hyperlink r:id="rId4">
                          <w:r>
                            <w:rPr>
                              <w:rStyle w:val="InternetLink"/>
                              <w:color w:val="FFFFFF"/>
                            </w:rPr>
                            <w:t>GA Organization</w:t>
                          </w:r>
                        </w:hyperlink>
                      </w:p>
                      <w:p>
                        <w:pPr>
                          <w:pStyle w:val="Links"/>
                          <w:rPr>
                            <w:rStyle w:val="InternetLink"/>
                            <w:color w:val="FFFFFF"/>
                          </w:rPr>
                        </w:pPr>
                        <w:hyperlink r:id="rId5">
                          <w:r>
                            <w:rPr>
                              <w:rStyle w:val="InternetLink"/>
                              <w:color w:val="FFFFFF"/>
                            </w:rPr>
                            <w:t>GA Services/Contacts</w:t>
                          </w:r>
                        </w:hyperlink>
                      </w:p>
                      <w:p>
                        <w:pPr>
                          <w:pStyle w:val="Links"/>
                          <w:rPr>
                            <w:rStyle w:val="InternetLink"/>
                            <w:color w:val="FFFFFF"/>
                          </w:rPr>
                        </w:pPr>
                        <w:hyperlink r:id="rId6">
                          <w:r>
                            <w:rPr>
                              <w:rStyle w:val="InternetLink"/>
                              <w:color w:val="FFFFFF"/>
                            </w:rPr>
                            <w:t>GA topics on Blink</w:t>
                          </w:r>
                        </w:hyperlink>
                      </w:p>
                      <w:p>
                        <w:pPr>
                          <w:pStyle w:val="SideBarHeading"/>
                          <w:rPr>
                            <w:rFonts w:cs="Verdana" w:ascii="Verdana" w:hAnsi="Verdana"/>
                          </w:rPr>
                        </w:pPr>
                        <w:hyperlink r:id="rId7">
                          <w:r>
                            <w:rPr>
                              <w:rFonts w:cs="Verdana" w:ascii="Verdana" w:hAnsi="Verdana"/>
                            </w:rPr>
                            <w:t>GA Teams</w:t>
                            <w:br/>
                            <w:t>Email us</w:t>
                          </w:r>
                        </w:hyperlink>
                      </w:p>
                      <w:p>
                        <w:pPr>
                          <w:pStyle w:val="Links"/>
                          <w:rPr>
                            <w:rStyle w:val="InternetLink"/>
                            <w:color w:val="FFFFFF"/>
                          </w:rPr>
                        </w:pPr>
                        <w:hyperlink r:id="rId8">
                          <w:r>
                            <w:rPr>
                              <w:rStyle w:val="InternetLink"/>
                              <w:color w:val="FFFFFF"/>
                            </w:rPr>
                            <w:t>Banking &amp; Cash Acctg</w:t>
                          </w:r>
                        </w:hyperlink>
                      </w:p>
                      <w:p>
                        <w:pPr>
                          <w:pStyle w:val="Links"/>
                          <w:rPr>
                            <w:rStyle w:val="InternetLink"/>
                            <w:color w:val="FFFFFF"/>
                          </w:rPr>
                        </w:pPr>
                        <w:hyperlink r:id="rId9">
                          <w:r>
                            <w:rPr>
                              <w:rStyle w:val="InternetLink"/>
                              <w:color w:val="FFFFFF"/>
                            </w:rPr>
                            <w:t>Plant/Capital Accounting &amp; Equipment Management</w:t>
                          </w:r>
                        </w:hyperlink>
                      </w:p>
                      <w:p>
                        <w:pPr>
                          <w:pStyle w:val="Links"/>
                          <w:rPr>
                            <w:rStyle w:val="InternetLink"/>
                            <w:color w:val="FFFFFF"/>
                          </w:rPr>
                        </w:pPr>
                        <w:hyperlink r:id="rId10">
                          <w:r>
                            <w:rPr>
                              <w:rStyle w:val="InternetLink"/>
                              <w:color w:val="FFFFFF"/>
                            </w:rPr>
                            <w:t>Self Supporting Activities</w:t>
                          </w:r>
                        </w:hyperlink>
                      </w:p>
                      <w:p>
                        <w:pPr>
                          <w:pStyle w:val="Links"/>
                          <w:rPr>
                            <w:rStyle w:val="InternetLink"/>
                            <w:color w:val="FFFFFF"/>
                          </w:rPr>
                        </w:pPr>
                        <w:hyperlink r:id="rId11">
                          <w:r>
                            <w:rPr>
                              <w:rStyle w:val="InternetLink"/>
                              <w:color w:val="FFFFFF"/>
                            </w:rPr>
                            <w:t>Central Accounting</w:t>
                          </w:r>
                        </w:hyperlink>
                      </w:p>
                      <w:p>
                        <w:pPr>
                          <w:pStyle w:val="Links"/>
                          <w:rPr>
                            <w:rStyle w:val="InternetLink"/>
                            <w:color w:val="FFFFFF"/>
                          </w:rPr>
                        </w:pPr>
                        <w:hyperlink r:id="rId12">
                          <w:r>
                            <w:rPr>
                              <w:rStyle w:val="InternetLink"/>
                              <w:color w:val="FFFFFF"/>
                            </w:rPr>
                            <w:t>Financial Systems &amp; Reporting</w:t>
                          </w:r>
                          <w:r>
                            <w:rPr>
                              <w:rStyle w:val="InternetLink"/>
                            </w:rPr>
                            <w:br/>
                            <w:br/>
                          </w:r>
                        </w:hyperlink>
                        <w:hyperlink r:id="rId13">
                          <w:r>
                            <w:rPr>
                              <w:rStyle w:val="InternetLink"/>
                              <w:color w:val="FFFFFF"/>
                            </w:rPr>
                            <w:t>Internal Controls</w:t>
                          </w:r>
                        </w:hyperlink>
                      </w:p>
                      <w:p>
                        <w:pPr>
                          <w:pStyle w:val="SideBarHeading"/>
                          <w:rPr>
                            <w:rFonts w:cs="Verdana" w:ascii="Verdana" w:hAnsi="Verdana"/>
                          </w:rPr>
                        </w:pPr>
                        <w:r>
                          <w:rPr>
                            <w:rFonts w:cs="Verdana" w:ascii="Verdana" w:hAnsi="Verdana"/>
                          </w:rPr>
                          <w:t>Contact Us</w:t>
                        </w:r>
                      </w:p>
                      <w:p>
                        <w:pPr>
                          <w:pStyle w:val="Links"/>
                          <w:rPr>
                            <w:rStyle w:val="InternetLink"/>
                            <w:color w:val="FFFFFF"/>
                          </w:rPr>
                        </w:pPr>
                        <w:hyperlink r:id="rId14">
                          <w:r>
                            <w:rPr>
                              <w:rStyle w:val="InternetLink"/>
                              <w:color w:val="FFFFFF"/>
                            </w:rPr>
                            <w:t>gacommteam@ucsd.edu</w:t>
                          </w:r>
                        </w:hyperlink>
                      </w:p>
                      <w:p>
                        <w:pPr>
                          <w:pStyle w:val="Links"/>
                          <w:jc w:val="center"/>
                          <w:rPr>
                            <w:rStyle w:val="InternetLink"/>
                            <w:b/>
                            <w:color w:val="FFFFFF"/>
                          </w:rPr>
                        </w:pPr>
                        <w:hyperlink r:id="rId15">
                          <w:r>
                            <w:rPr>
                              <w:rStyle w:val="InternetLink"/>
                              <w:b/>
                              <w:color w:val="FFFFFF"/>
                            </w:rPr>
                            <w:t>We Support UCSD’s PRINCIPLES OF COMMUNITY</w:t>
                          </w:r>
                        </w:hyperlink>
                      </w:p>
                    </w:tc>
                    <w:tc>
                      <w:tcPr>
                        <w:tcW w:w="8397" w:type="dxa"/>
                        <w:tcBorders>
                          <w:top w:val="nil"/>
                          <w:left w:val="nil"/>
                          <w:bottom w:val="nil"/>
                          <w:insideH w:val="nil"/>
                          <w:right w:val="nil"/>
                          <w:insideV w:val="nil"/>
                        </w:tcBorders>
                        <w:shd w:fill="auto" w:val="clear"/>
                      </w:tcPr>
                      <w:p>
                        <w:pPr>
                          <w:pStyle w:val="Heading1"/>
                          <w:numPr>
                            <w:ilvl w:val="0"/>
                            <w:numId w:val="1"/>
                          </w:numPr>
                          <w:spacing w:before="120" w:after="0"/>
                          <w:rPr>
                            <w:rFonts w:cs="Verdana" w:ascii="Verdana" w:hAnsi="Verdana"/>
                            <w:sz w:val="28"/>
                            <w:szCs w:val="28"/>
                          </w:rPr>
                        </w:pPr>
                        <w:bookmarkStart w:id="1" w:name="_Current_Issues"/>
                        <w:bookmarkEnd w:id="1"/>
                        <w:r>
                          <w:rPr>
                            <w:rFonts w:cs="Verdana" w:ascii="Verdana" w:hAnsi="Verdana"/>
                            <w:sz w:val="28"/>
                            <w:szCs w:val="28"/>
                          </w:rPr>
                          <w:t>Current Issues</w:t>
                        </w:r>
                      </w:p>
                      <w:p>
                        <w:pPr>
                          <w:pStyle w:val="Normal"/>
                          <w:rPr/>
                        </w:pPr>
                        <w:r>
                          <w:rPr/>
                        </w:r>
                      </w:p>
                      <w:p>
                        <w:pPr>
                          <w:pStyle w:val="TextBody"/>
                          <w:jc w:val="both"/>
                          <w:rPr/>
                        </w:pPr>
                        <w:r>
                          <w:rPr/>
                          <w:t xml:space="preserve">General Accounting sends this newsletter to you, our campus customer, to keep you informed on the latest accounting issues affecting your department’s operations. We want to provide the best and latest information that affects our accounting and business practices at UCSD.  Thanks for your feedback so far.  We’re looking at your suggestions and will incorporate as many as we can in our future newsletters.  Please continue to let us know if you have subjects you think we should cover in future newsletters. </w:t>
                        </w:r>
                      </w:p>
                      <w:p>
                        <w:pPr>
                          <w:pStyle w:val="TextBody"/>
                          <w:jc w:val="both"/>
                          <w:rPr/>
                        </w:pPr>
                        <w:r>
                          <w:rPr/>
                          <w:t xml:space="preserve">On the left side of this newsletter, we’ve linked to information that may help with any general questions you have about General Accounting or related business processes. Please </w:t>
                        </w:r>
                        <w:hyperlink r:id="rId16">
                          <w:r>
                            <w:rPr>
                              <w:rStyle w:val="InternetLink"/>
                              <w:color w:val="000000"/>
                              <w:u w:val="single"/>
                            </w:rPr>
                            <w:t>contact us</w:t>
                          </w:r>
                        </w:hyperlink>
                        <w:r>
                          <w:rPr/>
                          <w:t xml:space="preserve"> if you’d like to be removed from our mailing list or if someone has forwarded our newsletter to you and you’d like to be added to our mailing list.</w:t>
                        </w:r>
                      </w:p>
                      <w:p>
                        <w:pPr>
                          <w:pStyle w:val="TextBody"/>
                          <w:jc w:val="both"/>
                          <w:rPr>
                            <w:rStyle w:val="InternetLink"/>
                            <w:color w:val="000000"/>
                            <w:u w:val="single"/>
                          </w:rPr>
                        </w:pPr>
                        <w:r>
                          <w:rPr/>
                          <w:t xml:space="preserve">Have there been recent staff changes in your organization? Please help us keep our newsletter mailing list current.  Forward this newsletter to your new accounting or business staff and encourage them to subscribe or let us know of recent staff changes or upcoming retirements.  Send updates to </w:t>
                        </w:r>
                        <w:hyperlink r:id="rId17">
                          <w:r>
                            <w:rPr>
                              <w:rStyle w:val="InternetLink"/>
                              <w:color w:val="000000"/>
                              <w:u w:val="single"/>
                            </w:rPr>
                            <w:t>gacommteam@ucsd.edu</w:t>
                          </w:r>
                        </w:hyperlink>
                      </w:p>
                      <w:p>
                        <w:pPr>
                          <w:pStyle w:val="Heading2"/>
                          <w:numPr>
                            <w:ilvl w:val="1"/>
                            <w:numId w:val="1"/>
                          </w:numPr>
                          <w:rPr>
                            <w:rFonts w:cs="Verdana" w:ascii="Verdana" w:hAnsi="Verdana"/>
                            <w:sz w:val="28"/>
                            <w:szCs w:val="28"/>
                          </w:rPr>
                        </w:pPr>
                        <w:bookmarkStart w:id="2" w:name="_General_Accounting_Closure"/>
                        <w:bookmarkEnd w:id="2"/>
                        <w:r>
                          <w:rPr>
                            <w:rFonts w:cs="Verdana" w:ascii="Verdana" w:hAnsi="Verdana"/>
                            <w:sz w:val="28"/>
                            <w:szCs w:val="28"/>
                          </w:rPr>
                          <w:t>General Accounting Closure (Furlough Day)</w:t>
                        </w:r>
                      </w:p>
                      <w:p>
                        <w:pPr>
                          <w:pStyle w:val="Normal"/>
                          <w:rPr/>
                        </w:pPr>
                        <w:r>
                          <w:rPr/>
                        </w:r>
                      </w:p>
                      <w:p>
                        <w:pPr>
                          <w:pStyle w:val="TextBody"/>
                          <w:jc w:val="both"/>
                          <w:rPr/>
                        </w:pPr>
                        <w:r>
                          <w:rPr/>
                          <w:t xml:space="preserve">Due to campus budget reductions and the resulting furlough, General Accounting will be closed on Friday February 12, 2010.  We will return to the office on Tuesday February 16, 2010 after the Presidents’ Day holiday. We regret any inconvenience this may cause to you, our customers. </w:t>
                        </w:r>
                      </w:p>
                      <w:p>
                        <w:pPr>
                          <w:pStyle w:val="TextBody"/>
                          <w:jc w:val="both"/>
                          <w:rPr/>
                        </w:pPr>
                        <w:r>
                          <w:rPr/>
                          <w:t xml:space="preserve">Click </w:t>
                        </w:r>
                        <w:hyperlink r:id="rId18">
                          <w:r>
                            <w:rPr>
                              <w:rStyle w:val="InternetLink"/>
                              <w:color w:val="000000"/>
                              <w:u w:val="single"/>
                            </w:rPr>
                            <w:t>here</w:t>
                          </w:r>
                        </w:hyperlink>
                        <w:r>
                          <w:rPr/>
                          <w:t xml:space="preserve"> for a list of all scheduled furlough days for General Accounting and other campus offices.</w:t>
                        </w:r>
                      </w:p>
                      <w:p>
                        <w:pPr>
                          <w:pStyle w:val="TextBody"/>
                          <w:jc w:val="both"/>
                          <w:rPr>
                            <w:rStyle w:val="InternetLink"/>
                            <w:b/>
                            <w:color w:val="17365D"/>
                            <w:u w:val="single"/>
                          </w:rPr>
                        </w:pPr>
                        <w:hyperlink w:anchor="_top">
                          <w:r>
                            <w:rPr>
                              <w:rStyle w:val="InternetLink"/>
                              <w:b/>
                              <w:color w:val="17365D"/>
                              <w:u w:val="single"/>
                            </w:rPr>
                            <w:t>Back to top of newsletter</w:t>
                          </w:r>
                        </w:hyperlink>
                      </w:p>
                      <w:p>
                        <w:pPr>
                          <w:pStyle w:val="Heading2"/>
                          <w:numPr>
                            <w:ilvl w:val="1"/>
                            <w:numId w:val="1"/>
                          </w:numPr>
                          <w:rPr>
                            <w:rFonts w:cs="Verdana" w:ascii="Verdana" w:hAnsi="Verdana"/>
                            <w:sz w:val="28"/>
                            <w:szCs w:val="28"/>
                          </w:rPr>
                        </w:pPr>
                        <w:bookmarkStart w:id="3" w:name="_Equipment_Management"/>
                        <w:bookmarkStart w:id="4" w:name="_New_ARRA_Program"/>
                        <w:bookmarkEnd w:id="3"/>
                        <w:bookmarkEnd w:id="4"/>
                        <w:r>
                          <w:rPr>
                            <w:rFonts w:cs="Verdana" w:ascii="Verdana" w:hAnsi="Verdana"/>
                            <w:sz w:val="28"/>
                            <w:szCs w:val="28"/>
                          </w:rPr>
                          <w:t>Equipment Management</w:t>
                        </w:r>
                      </w:p>
                      <w:p>
                        <w:pPr>
                          <w:pStyle w:val="Normal"/>
                          <w:rPr/>
                        </w:pPr>
                        <w:r>
                          <w:rPr/>
                        </w:r>
                      </w:p>
                      <w:p>
                        <w:pPr>
                          <w:pStyle w:val="Normal"/>
                          <w:rPr>
                            <w:rFonts w:cs="Verdana" w:ascii="Verdana" w:hAnsi="Verdana"/>
                            <w:sz w:val="20"/>
                            <w:szCs w:val="20"/>
                          </w:rPr>
                        </w:pPr>
                        <w:r>
                          <w:rPr>
                            <w:rFonts w:cs="Verdana" w:ascii="Verdana" w:hAnsi="Verdana"/>
                            <w:sz w:val="20"/>
                            <w:szCs w:val="20"/>
                          </w:rPr>
                          <w:t xml:space="preserve">We expect to roll out our new Campus Asset Management System on March 1, 2010.  This new comprehensive asset management system will replace EAMS which has been used by the campus for 20+ years and no longer meets the needs for effective inventory control. </w:t>
                        </w:r>
                      </w:p>
                      <w:p>
                        <w:pPr>
                          <w:pStyle w:val="Normal"/>
                          <w:rPr>
                            <w:rFonts w:cs="Verdana" w:ascii="Verdana" w:hAnsi="Verdana"/>
                            <w:sz w:val="20"/>
                            <w:szCs w:val="20"/>
                          </w:rPr>
                        </w:pPr>
                        <w:r>
                          <w:rPr>
                            <w:rFonts w:cs="Verdana" w:ascii="Verdana" w:hAnsi="Verdana"/>
                            <w:sz w:val="20"/>
                            <w:szCs w:val="20"/>
                          </w:rPr>
                        </w:r>
                      </w:p>
                      <w:p>
                        <w:pPr>
                          <w:pStyle w:val="Normal"/>
                          <w:rPr>
                            <w:rFonts w:cs="Verdana" w:ascii="Verdana" w:hAnsi="Verdana"/>
                            <w:sz w:val="20"/>
                            <w:szCs w:val="20"/>
                          </w:rPr>
                        </w:pPr>
                        <w:r>
                          <w:rPr>
                            <w:rFonts w:cs="Verdana" w:ascii="Verdana" w:hAnsi="Verdana"/>
                            <w:sz w:val="20"/>
                            <w:szCs w:val="20"/>
                          </w:rPr>
                          <w:t>CAMS will have a slew of new features that will allow campus equipment custodians to keep a more accurate track of all inventorial equipment valued over $5,000.  It will also provide the option to track non-inventorial equipment valued at less than $5,000.</w:t>
                        </w:r>
                      </w:p>
                      <w:p>
                        <w:pPr>
                          <w:pStyle w:val="Normal"/>
                          <w:rPr>
                            <w:rFonts w:cs="Verdana" w:ascii="Verdana" w:hAnsi="Verdana"/>
                            <w:sz w:val="20"/>
                            <w:szCs w:val="20"/>
                          </w:rPr>
                        </w:pPr>
                        <w:r>
                          <w:rPr>
                            <w:rFonts w:cs="Verdana" w:ascii="Verdana" w:hAnsi="Verdana"/>
                            <w:sz w:val="20"/>
                            <w:szCs w:val="20"/>
                          </w:rPr>
                        </w:r>
                      </w:p>
                      <w:p>
                        <w:pPr>
                          <w:pStyle w:val="Normal"/>
                          <w:rPr>
                            <w:rFonts w:cs="Verdana" w:ascii="Verdana" w:hAnsi="Verdana"/>
                            <w:sz w:val="20"/>
                            <w:szCs w:val="20"/>
                          </w:rPr>
                        </w:pPr>
                        <w:r>
                          <w:rPr>
                            <w:rFonts w:cs="Verdana" w:ascii="Verdana" w:hAnsi="Verdana"/>
                            <w:sz w:val="20"/>
                            <w:szCs w:val="20"/>
                          </w:rPr>
                          <w:t xml:space="preserve">CAMS also will be fully integrated with our surplus sales system allowing a </w:t>
                        </w:r>
                      </w:p>
                      <w:p>
                        <w:pPr>
                          <w:pStyle w:val="Normal"/>
                          <w:rPr>
                            <w:rFonts w:cs="Verdana" w:ascii="Verdana" w:hAnsi="Verdana"/>
                            <w:sz w:val="20"/>
                            <w:szCs w:val="20"/>
                          </w:rPr>
                        </w:pPr>
                        <w:r>
                          <w:rPr>
                            <w:rFonts w:cs="Verdana" w:ascii="Verdana" w:hAnsi="Verdana"/>
                            <w:sz w:val="20"/>
                            <w:szCs w:val="20"/>
                          </w:rPr>
                          <w:t>paperless transfer of both inventorial and non-inventorial assets to Surplus Sales with more accurate information related to pickup and credit to department indexes of any sale proceeds.</w:t>
                        </w:r>
                      </w:p>
                      <w:p>
                        <w:pPr>
                          <w:pStyle w:val="Normal"/>
                          <w:rPr>
                            <w:rFonts w:cs="Verdana" w:ascii="Verdana" w:hAnsi="Verdana"/>
                            <w:sz w:val="20"/>
                            <w:szCs w:val="20"/>
                          </w:rPr>
                        </w:pPr>
                        <w:r>
                          <w:rPr>
                            <w:rFonts w:cs="Verdana" w:ascii="Verdana" w:hAnsi="Verdana"/>
                            <w:sz w:val="20"/>
                            <w:szCs w:val="20"/>
                          </w:rPr>
                        </w:r>
                      </w:p>
                      <w:p>
                        <w:pPr>
                          <w:pStyle w:val="Normal"/>
                          <w:rPr>
                            <w:rFonts w:cs="Verdana" w:ascii="Verdana" w:hAnsi="Verdana"/>
                            <w:sz w:val="20"/>
                            <w:szCs w:val="20"/>
                          </w:rPr>
                        </w:pPr>
                        <w:r>
                          <w:rPr>
                            <w:rFonts w:cs="Verdana" w:ascii="Verdana" w:hAnsi="Verdana"/>
                            <w:sz w:val="20"/>
                            <w:szCs w:val="20"/>
                          </w:rPr>
                          <w:t>Inventorial assets will have accounting detail providing current full historical valuation of all assets from initial purchase through disposal.</w:t>
                        </w:r>
                      </w:p>
                      <w:p>
                        <w:pPr>
                          <w:pStyle w:val="Normal"/>
                          <w:rPr>
                            <w:rFonts w:cs="Verdana" w:ascii="Verdana" w:hAnsi="Verdana"/>
                            <w:sz w:val="20"/>
                            <w:szCs w:val="20"/>
                          </w:rPr>
                        </w:pPr>
                        <w:r>
                          <w:rPr>
                            <w:rFonts w:cs="Verdana" w:ascii="Verdana" w:hAnsi="Verdana"/>
                            <w:sz w:val="20"/>
                            <w:szCs w:val="20"/>
                          </w:rPr>
                        </w:r>
                      </w:p>
                      <w:p>
                        <w:pPr>
                          <w:pStyle w:val="Normal"/>
                          <w:rPr>
                            <w:rFonts w:cs="Verdana" w:ascii="Verdana" w:hAnsi="Verdana"/>
                            <w:b/>
                            <w:sz w:val="20"/>
                            <w:szCs w:val="20"/>
                          </w:rPr>
                        </w:pPr>
                        <w:r>
                          <w:rPr>
                            <w:rFonts w:cs="Verdana" w:ascii="Verdana" w:hAnsi="Verdana"/>
                            <w:b/>
                            <w:sz w:val="20"/>
                            <w:szCs w:val="20"/>
                          </w:rPr>
                          <w:t xml:space="preserve">Training Schedule for the new Campus Asset Management System (CAMS) </w:t>
                        </w:r>
                      </w:p>
                      <w:p>
                        <w:pPr>
                          <w:pStyle w:val="Normal"/>
                          <w:rPr>
                            <w:rFonts w:cs="Verdana" w:ascii="Verdana" w:hAnsi="Verdana"/>
                            <w:sz w:val="20"/>
                            <w:szCs w:val="20"/>
                          </w:rPr>
                        </w:pPr>
                        <w:r>
                          <w:rPr>
                            <w:rFonts w:cs="Verdana" w:ascii="Verdana" w:hAnsi="Verdana"/>
                            <w:sz w:val="20"/>
                            <w:szCs w:val="20"/>
                          </w:rPr>
                          <w:t xml:space="preserve">Please visit </w:t>
                        </w:r>
                        <w:hyperlink r:id="rId19">
                          <w:r>
                            <w:rPr>
                              <w:rStyle w:val="InternetLink"/>
                              <w:color w:val="000000"/>
                              <w:u w:val="single"/>
                            </w:rPr>
                            <w:t>Enrollment Central</w:t>
                          </w:r>
                        </w:hyperlink>
                        <w:r>
                          <w:rPr>
                            <w:rFonts w:cs="Verdana" w:ascii="Verdana" w:hAnsi="Verdana"/>
                            <w:sz w:val="20"/>
                            <w:szCs w:val="20"/>
                          </w:rPr>
                          <w:t xml:space="preserve"> to register for the CAMS Training 101. </w:t>
                        </w:r>
                      </w:p>
                      <w:p>
                        <w:pPr>
                          <w:pStyle w:val="Normal"/>
                          <w:rPr>
                            <w:rFonts w:cs="Verdana" w:ascii="Verdana" w:hAnsi="Verdana"/>
                            <w:sz w:val="20"/>
                            <w:szCs w:val="20"/>
                          </w:rPr>
                        </w:pPr>
                        <w:r>
                          <w:rPr>
                            <w:rFonts w:cs="Verdana" w:ascii="Verdana" w:hAnsi="Verdana"/>
                            <w:sz w:val="20"/>
                            <w:szCs w:val="20"/>
                          </w:rPr>
                          <w:t>This one hour training will provide each user with the features and benefits of the new CAMS application. By the end of the demonstration each user will have a fundamental understanding of how to gain access to the application via Single Sign-On and how to navigate around the application. The demonstration will explain new processes for creating Surplus Transfer Requests, running Reports, as well as a variety of other new features.</w:t>
                        </w:r>
                      </w:p>
                      <w:p>
                        <w:pPr>
                          <w:pStyle w:val="Normal"/>
                          <w:rPr>
                            <w:rFonts w:cs="Verdana" w:ascii="Verdana" w:hAnsi="Verdana"/>
                            <w:sz w:val="20"/>
                            <w:szCs w:val="20"/>
                          </w:rPr>
                        </w:pPr>
                        <w:r>
                          <w:rPr>
                            <w:rFonts w:cs="Verdana" w:ascii="Verdana" w:hAnsi="Verdana"/>
                            <w:sz w:val="20"/>
                            <w:szCs w:val="20"/>
                          </w:rPr>
                        </w:r>
                      </w:p>
                      <w:p>
                        <w:pPr>
                          <w:pStyle w:val="Normal"/>
                          <w:rPr>
                            <w:rFonts w:cs="Verdana" w:ascii="Verdana" w:hAnsi="Verdana"/>
                            <w:sz w:val="20"/>
                            <w:szCs w:val="20"/>
                          </w:rPr>
                        </w:pPr>
                        <w:r>
                          <w:rPr>
                            <w:rFonts w:cs="Verdana" w:ascii="Verdana" w:hAnsi="Verdana"/>
                            <w:sz w:val="20"/>
                            <w:szCs w:val="20"/>
                          </w:rPr>
                          <w:t xml:space="preserve">Again, you can sign up for these training sessions via </w:t>
                        </w:r>
                        <w:hyperlink r:id="rId20">
                          <w:r>
                            <w:rPr>
                              <w:rStyle w:val="InternetLink"/>
                              <w:color w:val="000000"/>
                              <w:u w:val="single"/>
                            </w:rPr>
                            <w:t>Enrollment Central</w:t>
                          </w:r>
                        </w:hyperlink>
                        <w:r>
                          <w:rPr>
                            <w:rFonts w:cs="Verdana" w:ascii="Verdana" w:hAnsi="Verdana"/>
                            <w:sz w:val="20"/>
                            <w:szCs w:val="20"/>
                          </w:rPr>
                          <w:t>. Seating is limited however, we are offering a variety of times at several campus locations for your convenience.</w:t>
                        </w:r>
                      </w:p>
                      <w:p>
                        <w:pPr>
                          <w:pStyle w:val="Normal"/>
                          <w:rPr>
                            <w:rFonts w:cs="Verdana" w:ascii="Verdana" w:hAnsi="Verdana"/>
                            <w:sz w:val="20"/>
                            <w:szCs w:val="20"/>
                          </w:rPr>
                        </w:pPr>
                        <w:r>
                          <w:rPr>
                            <w:rFonts w:cs="Verdana" w:ascii="Verdana" w:hAnsi="Verdana"/>
                            <w:sz w:val="20"/>
                            <w:szCs w:val="20"/>
                          </w:rPr>
                        </w:r>
                      </w:p>
                      <w:p>
                        <w:pPr>
                          <w:pStyle w:val="Normal"/>
                          <w:rPr>
                            <w:rFonts w:cs="Verdana" w:ascii="Verdana" w:hAnsi="Verdana"/>
                            <w:sz w:val="20"/>
                            <w:szCs w:val="20"/>
                          </w:rPr>
                        </w:pPr>
                        <w:r>
                          <w:rPr>
                            <w:rFonts w:cs="Verdana" w:ascii="Verdana" w:hAnsi="Verdana"/>
                            <w:sz w:val="20"/>
                            <w:szCs w:val="20"/>
                          </w:rPr>
                          <w:drawing>
                            <wp:inline distT="0" distB="0" distL="0" distR="0">
                              <wp:extent cx="5238750" cy="2172335"/>
                              <wp:effectExtent l="0" t="0" r="0" b="0"/>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21"/>
                                      <a:stretch>
                                        <a:fillRect/>
                                      </a:stretch>
                                    </pic:blipFill>
                                    <pic:spPr bwMode="auto">
                                      <a:xfrm>
                                        <a:off x="0" y="0"/>
                                        <a:ext cx="5238750" cy="2172335"/>
                                      </a:xfrm>
                                      <a:prstGeom prst="rect">
                                        <a:avLst/>
                                      </a:prstGeom>
                                      <a:noFill/>
                                      <a:ln w="9525">
                                        <a:noFill/>
                                        <a:miter lim="800000"/>
                                        <a:headEnd/>
                                        <a:tailEnd/>
                                      </a:ln>
                                    </pic:spPr>
                                  </pic:pic>
                                </a:graphicData>
                              </a:graphic>
                            </wp:inline>
                          </w:drawing>
                        </w:r>
                      </w:p>
                      <w:p>
                        <w:pPr>
                          <w:pStyle w:val="Normal"/>
                          <w:rPr>
                            <w:rFonts w:cs="Verdana" w:ascii="Verdana" w:hAnsi="Verdana"/>
                            <w:b/>
                            <w:sz w:val="20"/>
                            <w:szCs w:val="20"/>
                          </w:rPr>
                        </w:pPr>
                        <w:r>
                          <w:rPr>
                            <w:rFonts w:cs="Verdana" w:ascii="Verdana" w:hAnsi="Verdana"/>
                            <w:b/>
                            <w:sz w:val="20"/>
                            <w:szCs w:val="20"/>
                          </w:rPr>
                        </w:r>
                      </w:p>
                      <w:p>
                        <w:pPr>
                          <w:pStyle w:val="Normal"/>
                          <w:rPr>
                            <w:rFonts w:cs="Verdana" w:ascii="Verdana" w:hAnsi="Verdana"/>
                            <w:b/>
                            <w:sz w:val="20"/>
                            <w:szCs w:val="20"/>
                          </w:rPr>
                        </w:pPr>
                        <w:r>
                          <w:rPr>
                            <w:rFonts w:cs="Verdana" w:ascii="Verdana" w:hAnsi="Verdana"/>
                            <w:b/>
                            <w:sz w:val="20"/>
                            <w:szCs w:val="20"/>
                          </w:rPr>
                          <w:t>Technical Requirements for workstation using CAMS</w:t>
                        </w:r>
                      </w:p>
                      <w:p>
                        <w:pPr>
                          <w:pStyle w:val="Normal"/>
                          <w:numPr>
                            <w:ilvl w:val="0"/>
                            <w:numId w:val="3"/>
                          </w:numPr>
                          <w:rPr>
                            <w:rFonts w:cs="Verdana" w:ascii="Verdana" w:hAnsi="Verdana"/>
                            <w:sz w:val="20"/>
                            <w:szCs w:val="20"/>
                          </w:rPr>
                        </w:pPr>
                        <w:r>
                          <w:rPr>
                            <w:rFonts w:cs="Verdana" w:ascii="Verdana" w:hAnsi="Verdana"/>
                            <w:sz w:val="20"/>
                            <w:szCs w:val="20"/>
                          </w:rPr>
                          <w:t>If using Internet Explorer, the workstation must be using IE 7 or higher.</w:t>
                        </w:r>
                      </w:p>
                      <w:p>
                        <w:pPr>
                          <w:pStyle w:val="Normal"/>
                          <w:numPr>
                            <w:ilvl w:val="0"/>
                            <w:numId w:val="3"/>
                          </w:numPr>
                          <w:rPr>
                            <w:rFonts w:cs="Verdana" w:ascii="Verdana" w:hAnsi="Verdana"/>
                            <w:sz w:val="20"/>
                            <w:szCs w:val="20"/>
                          </w:rPr>
                        </w:pPr>
                        <w:r>
                          <w:rPr>
                            <w:rFonts w:cs="Verdana" w:ascii="Verdana" w:hAnsi="Verdana"/>
                            <w:sz w:val="20"/>
                            <w:szCs w:val="20"/>
                          </w:rPr>
                          <w:t>When using IE the user must have all pop-up blockers turned off and the ability to install ActiveX installers.</w:t>
                        </w:r>
                      </w:p>
                      <w:p>
                        <w:pPr>
                          <w:pStyle w:val="Normal"/>
                          <w:numPr>
                            <w:ilvl w:val="0"/>
                            <w:numId w:val="3"/>
                          </w:numPr>
                          <w:rPr>
                            <w:rFonts w:cs="Verdana" w:ascii="Verdana" w:hAnsi="Verdana"/>
                            <w:sz w:val="20"/>
                            <w:szCs w:val="20"/>
                          </w:rPr>
                        </w:pPr>
                        <w:r>
                          <w:rPr>
                            <w:rFonts w:cs="Verdana" w:ascii="Verdana" w:hAnsi="Verdana"/>
                            <w:sz w:val="20"/>
                            <w:szCs w:val="20"/>
                          </w:rPr>
                          <w:t>For other browsers, reports are rendered as PDF so Adobe PDF Viewer must be installed.</w:t>
                        </w:r>
                      </w:p>
                      <w:p>
                        <w:pPr>
                          <w:pStyle w:val="Normal"/>
                          <w:rPr>
                            <w:rFonts w:cs="Verdana" w:ascii="Verdana" w:hAnsi="Verdana"/>
                            <w:b/>
                            <w:sz w:val="20"/>
                            <w:szCs w:val="20"/>
                          </w:rPr>
                        </w:pPr>
                        <w:r>
                          <w:rPr>
                            <w:rFonts w:cs="Verdana" w:ascii="Verdana" w:hAnsi="Verdana"/>
                            <w:b/>
                            <w:sz w:val="20"/>
                            <w:szCs w:val="20"/>
                          </w:rPr>
                        </w:r>
                      </w:p>
                      <w:p>
                        <w:pPr>
                          <w:pStyle w:val="Normal"/>
                          <w:rPr>
                            <w:rFonts w:cs="Verdana" w:ascii="Verdana" w:hAnsi="Verdana"/>
                            <w:sz w:val="20"/>
                            <w:szCs w:val="20"/>
                          </w:rPr>
                        </w:pPr>
                        <w:r>
                          <w:rPr>
                            <w:rFonts w:cs="Verdana" w:ascii="Verdana" w:hAnsi="Verdana"/>
                            <w:sz w:val="20"/>
                            <w:szCs w:val="20"/>
                          </w:rPr>
                          <w:t xml:space="preserve">Check our </w:t>
                        </w:r>
                        <w:hyperlink r:id="rId22">
                          <w:r>
                            <w:rPr>
                              <w:rStyle w:val="InternetLink"/>
                              <w:color w:val="000000"/>
                              <w:u w:val="single"/>
                            </w:rPr>
                            <w:t>Equipment Management</w:t>
                          </w:r>
                        </w:hyperlink>
                        <w:r>
                          <w:rPr>
                            <w:rFonts w:cs="Verdana" w:ascii="Verdana" w:hAnsi="Verdana"/>
                            <w:sz w:val="20"/>
                            <w:szCs w:val="20"/>
                          </w:rPr>
                          <w:t xml:space="preserve"> Blink page for more information on equipment management processes.</w:t>
                        </w:r>
                      </w:p>
                      <w:p>
                        <w:pPr>
                          <w:pStyle w:val="Normal"/>
                          <w:rPr>
                            <w:rFonts w:cs="Verdana" w:ascii="Verdana" w:hAnsi="Verdana"/>
                            <w:sz w:val="20"/>
                            <w:szCs w:val="20"/>
                          </w:rPr>
                        </w:pPr>
                        <w:r>
                          <w:rPr>
                            <w:rFonts w:cs="Verdana" w:ascii="Verdana" w:hAnsi="Verdana"/>
                            <w:sz w:val="20"/>
                            <w:szCs w:val="20"/>
                          </w:rPr>
                        </w:r>
                      </w:p>
                      <w:p>
                        <w:pPr>
                          <w:pStyle w:val="TextBody"/>
                          <w:jc w:val="both"/>
                          <w:rPr>
                            <w:rStyle w:val="InternetLink"/>
                            <w:b/>
                            <w:color w:val="17365D"/>
                            <w:u w:val="single"/>
                          </w:rPr>
                        </w:pPr>
                        <w:hyperlink w:anchor="_top">
                          <w:r>
                            <w:rPr>
                              <w:rStyle w:val="InternetLink"/>
                              <w:b/>
                              <w:color w:val="17365D"/>
                              <w:u w:val="single"/>
                            </w:rPr>
                            <w:t>Back to top of newsletter</w:t>
                          </w:r>
                        </w:hyperlink>
                      </w:p>
                      <w:p>
                        <w:pPr>
                          <w:pStyle w:val="Heading2"/>
                          <w:numPr>
                            <w:ilvl w:val="1"/>
                            <w:numId w:val="1"/>
                          </w:numPr>
                          <w:rPr>
                            <w:rFonts w:cs="Verdana" w:ascii="Verdana" w:hAnsi="Verdana"/>
                            <w:sz w:val="28"/>
                            <w:szCs w:val="28"/>
                          </w:rPr>
                        </w:pPr>
                        <w:bookmarkStart w:id="5" w:name="_Central_Accounting"/>
                        <w:bookmarkEnd w:id="5"/>
                        <w:r>
                          <w:rPr>
                            <w:rFonts w:cs="Verdana" w:ascii="Verdana" w:hAnsi="Verdana"/>
                            <w:sz w:val="28"/>
                            <w:szCs w:val="28"/>
                          </w:rPr>
                          <w:t>Central Accounting</w:t>
                        </w:r>
                      </w:p>
                      <w:p>
                        <w:pPr>
                          <w:pStyle w:val="Normal"/>
                          <w:rPr/>
                        </w:pPr>
                        <w:r>
                          <w:rPr/>
                        </w:r>
                      </w:p>
                      <w:p>
                        <w:pPr>
                          <w:pStyle w:val="Normal"/>
                          <w:rPr>
                            <w:rFonts w:cs="Verdana" w:ascii="Verdana" w:hAnsi="Verdana"/>
                            <w:b/>
                            <w:bCs/>
                            <w:sz w:val="20"/>
                            <w:szCs w:val="20"/>
                          </w:rPr>
                        </w:pPr>
                        <w:r>
                          <w:rPr>
                            <w:rFonts w:cs="Verdana" w:ascii="Verdana" w:hAnsi="Verdana"/>
                            <w:b/>
                            <w:bCs/>
                            <w:sz w:val="20"/>
                            <w:szCs w:val="20"/>
                          </w:rPr>
                          <w:t>IRS Form 1099-Misc</w:t>
                        </w:r>
                      </w:p>
                      <w:p>
                        <w:pPr>
                          <w:pStyle w:val="Normal"/>
                          <w:rPr>
                            <w:rFonts w:cs="Verdana" w:ascii="Verdana" w:hAnsi="Verdana"/>
                            <w:sz w:val="20"/>
                            <w:szCs w:val="20"/>
                          </w:rPr>
                        </w:pPr>
                        <w:r>
                          <w:rPr>
                            <w:rFonts w:cs="Verdana" w:ascii="Verdana" w:hAnsi="Verdana"/>
                            <w:sz w:val="20"/>
                            <w:szCs w:val="20"/>
                          </w:rPr>
                        </w:r>
                      </w:p>
                      <w:p>
                        <w:pPr>
                          <w:pStyle w:val="Normal"/>
                          <w:rPr>
                            <w:rFonts w:cs="Verdana" w:ascii="Verdana" w:hAnsi="Verdana"/>
                            <w:sz w:val="20"/>
                            <w:szCs w:val="20"/>
                          </w:rPr>
                        </w:pPr>
                        <w:r>
                          <w:rPr>
                            <w:rFonts w:cs="Verdana" w:ascii="Verdana" w:hAnsi="Verdana"/>
                            <w:sz w:val="20"/>
                            <w:szCs w:val="20"/>
                          </w:rPr>
                          <w:t xml:space="preserve">Typically, at the beginning of a new calendar year, the campus receives a number of IRS Forms 1099-Misc.   The “Misc” is an abbreviation for </w:t>
                        </w:r>
                      </w:p>
                      <w:p>
                        <w:pPr>
                          <w:pStyle w:val="Normal"/>
                          <w:rPr>
                            <w:rFonts w:cs="Verdana" w:ascii="Verdana" w:hAnsi="Verdana"/>
                            <w:sz w:val="20"/>
                            <w:szCs w:val="20"/>
                          </w:rPr>
                        </w:pPr>
                        <w:r>
                          <w:rPr>
                            <w:rFonts w:cs="Verdana" w:ascii="Verdana" w:hAnsi="Verdana"/>
                            <w:sz w:val="20"/>
                            <w:szCs w:val="20"/>
                          </w:rPr>
                        </w:r>
                      </w:p>
                      <w:p>
                        <w:pPr>
                          <w:pStyle w:val="Normal"/>
                          <w:rPr>
                            <w:rFonts w:cs="Verdana" w:ascii="Verdana" w:hAnsi="Verdana"/>
                            <w:sz w:val="20"/>
                            <w:szCs w:val="20"/>
                          </w:rPr>
                        </w:pPr>
                        <w:r>
                          <w:rPr>
                            <w:rFonts w:eastAsia="Verdana" w:cs="Verdana" w:ascii="Verdana" w:hAnsi="Verdana"/>
                            <w:sz w:val="20"/>
                            <w:szCs w:val="20"/>
                          </w:rPr>
                          <w:t xml:space="preserve"> “</w:t>
                        </w:r>
                        <w:r>
                          <w:rPr>
                            <w:rFonts w:cs="Verdana" w:ascii="Verdana" w:hAnsi="Verdana"/>
                            <w:sz w:val="20"/>
                            <w:szCs w:val="20"/>
                          </w:rPr>
                          <w:t>Miscellaneous Income” and the senders of the forms, mostly corporate entities, are fulfilling a legal requirement to report payments that may be taxable income to the recipient of the payment and to the Internal Revenue Service.</w:t>
                        </w:r>
                      </w:p>
                      <w:p>
                        <w:pPr>
                          <w:pStyle w:val="Normal"/>
                          <w:rPr>
                            <w:rFonts w:cs="Verdana" w:ascii="Verdana" w:hAnsi="Verdana"/>
                            <w:sz w:val="20"/>
                            <w:szCs w:val="20"/>
                          </w:rPr>
                        </w:pPr>
                        <w:r>
                          <w:rPr>
                            <w:rFonts w:cs="Verdana" w:ascii="Verdana" w:hAnsi="Verdana"/>
                            <w:sz w:val="20"/>
                            <w:szCs w:val="20"/>
                          </w:rPr>
                        </w:r>
                      </w:p>
                      <w:p>
                        <w:pPr>
                          <w:pStyle w:val="Normal"/>
                          <w:rPr>
                            <w:rFonts w:cs="Verdana" w:ascii="Verdana" w:hAnsi="Verdana"/>
                            <w:sz w:val="20"/>
                            <w:szCs w:val="20"/>
                          </w:rPr>
                        </w:pPr>
                        <w:r>
                          <w:rPr>
                            <w:rFonts w:cs="Verdana" w:ascii="Verdana" w:hAnsi="Verdana"/>
                            <w:sz w:val="20"/>
                            <w:szCs w:val="20"/>
                          </w:rPr>
                          <w:t>Generally, income received by UCSD, regardless of the source of it, is not taxable either by the Federal or State government. For the small amount of income that may be taxable, we do not rely on Forms 1099-Misc to report it.</w:t>
                        </w:r>
                      </w:p>
                      <w:p>
                        <w:pPr>
                          <w:pStyle w:val="Normal"/>
                          <w:rPr>
                            <w:rFonts w:cs="Verdana" w:ascii="Verdana" w:hAnsi="Verdana"/>
                            <w:sz w:val="20"/>
                            <w:szCs w:val="20"/>
                          </w:rPr>
                        </w:pPr>
                        <w:r>
                          <w:rPr>
                            <w:rFonts w:cs="Verdana" w:ascii="Verdana" w:hAnsi="Verdana"/>
                            <w:sz w:val="20"/>
                            <w:szCs w:val="20"/>
                          </w:rPr>
                        </w:r>
                      </w:p>
                      <w:p>
                        <w:pPr>
                          <w:pStyle w:val="Normal"/>
                          <w:rPr>
                            <w:rFonts w:cs="Verdana" w:ascii="Verdana" w:hAnsi="Verdana"/>
                            <w:sz w:val="20"/>
                            <w:szCs w:val="20"/>
                          </w:rPr>
                        </w:pPr>
                        <w:r>
                          <w:rPr>
                            <w:rFonts w:cs="Verdana" w:ascii="Verdana" w:hAnsi="Verdana"/>
                            <w:sz w:val="20"/>
                            <w:szCs w:val="20"/>
                          </w:rPr>
                          <w:t>However, the forms occasionally provide some information that might require GA to take some follow-up action.  Please forward any Form 1099-Misc you receive to the attention of Traci Murphy, mail code 0953 here in General Accounting.</w:t>
                        </w:r>
                      </w:p>
                      <w:p>
                        <w:pPr>
                          <w:pStyle w:val="Normal"/>
                          <w:rPr>
                            <w:rFonts w:cs="Verdana" w:ascii="Verdana" w:hAnsi="Verdana"/>
                            <w:sz w:val="20"/>
                            <w:szCs w:val="20"/>
                          </w:rPr>
                        </w:pPr>
                        <w:r>
                          <w:rPr>
                            <w:rFonts w:cs="Verdana" w:ascii="Verdana" w:hAnsi="Verdana"/>
                            <w:sz w:val="20"/>
                            <w:szCs w:val="20"/>
                          </w:rPr>
                        </w:r>
                      </w:p>
                      <w:p>
                        <w:pPr>
                          <w:pStyle w:val="TextBody"/>
                          <w:jc w:val="both"/>
                          <w:rPr>
                            <w:rStyle w:val="InternetLink"/>
                            <w:b/>
                            <w:color w:val="17365D"/>
                            <w:u w:val="single"/>
                          </w:rPr>
                        </w:pPr>
                        <w:hyperlink w:anchor="_top">
                          <w:r>
                            <w:rPr>
                              <w:rStyle w:val="InternetLink"/>
                              <w:b/>
                              <w:color w:val="17365D"/>
                              <w:u w:val="single"/>
                            </w:rPr>
                            <w:t>Back to top of newsletter</w:t>
                          </w:r>
                        </w:hyperlink>
                      </w:p>
                      <w:p>
                        <w:pPr>
                          <w:pStyle w:val="Heading2"/>
                          <w:numPr>
                            <w:ilvl w:val="1"/>
                            <w:numId w:val="1"/>
                          </w:numPr>
                          <w:rPr>
                            <w:rFonts w:cs="Verdana" w:ascii="Verdana" w:hAnsi="Verdana"/>
                            <w:sz w:val="28"/>
                            <w:szCs w:val="28"/>
                          </w:rPr>
                        </w:pPr>
                        <w:bookmarkStart w:id="6" w:name="_Cash_&amp;_Banking"/>
                        <w:bookmarkEnd w:id="6"/>
                        <w:r>
                          <w:rPr>
                            <w:rFonts w:cs="Verdana" w:ascii="Verdana" w:hAnsi="Verdana"/>
                            <w:sz w:val="28"/>
                            <w:szCs w:val="28"/>
                          </w:rPr>
                          <w:t>Cash &amp; Banking</w:t>
                        </w:r>
                      </w:p>
                      <w:p>
                        <w:pPr>
                          <w:pStyle w:val="Normal"/>
                          <w:rPr/>
                        </w:pPr>
                        <w:r>
                          <w:rPr/>
                        </w:r>
                      </w:p>
                      <w:p>
                        <w:pPr>
                          <w:pStyle w:val="TextBody"/>
                          <w:rPr>
                            <w:b/>
                            <w:bCs/>
                            <w:u w:val="single"/>
                          </w:rPr>
                        </w:pPr>
                        <w:r>
                          <w:rPr>
                            <w:b/>
                            <w:bCs/>
                            <w:u w:val="single"/>
                          </w:rPr>
                          <w:t>PLEASE BE PROACTIVE:  Notify General Accounting if you anticipate receiving an electronic fund transfer:</w:t>
                        </w:r>
                      </w:p>
                      <w:p>
                        <w:pPr>
                          <w:pStyle w:val="TextBody"/>
                          <w:rPr/>
                        </w:pPr>
                        <w:r>
                          <w:rPr/>
                          <w:t xml:space="preserve">If you expect a payment via electronic fund transfer (wire or ACH) please email </w:t>
                        </w:r>
                        <w:hyperlink r:id="rId23">
                          <w:r>
                            <w:rPr>
                              <w:rStyle w:val="InternetLink"/>
                              <w:color w:val="000000"/>
                              <w:u w:val="single"/>
                            </w:rPr>
                            <w:t>bankwires@ucsd.edu</w:t>
                          </w:r>
                        </w:hyperlink>
                        <w:r>
                          <w:rPr/>
                          <w:t xml:space="preserve">  including all information available concerning the sender, country of origin, amount, timing and purpose of the transfer. If known, also provide any relevant information that the sender should have included as addendum information of the transfer: fund number, contract/grant/number, PI, Department, departmental contact person, invoice number, AR-ISIS account number, etc. </w:t>
                        </w:r>
                      </w:p>
                      <w:p>
                        <w:pPr>
                          <w:pStyle w:val="TextBody"/>
                          <w:rPr/>
                        </w:pPr>
                        <w:r>
                          <w:rPr/>
                          <w:t xml:space="preserve">Here’s our monthly sample of the </w:t>
                        </w:r>
                        <w:hyperlink r:id="rId24">
                          <w:r>
                            <w:rPr>
                              <w:rStyle w:val="InternetLink"/>
                              <w:color w:val="000000"/>
                              <w:u w:val="single"/>
                            </w:rPr>
                            <w:t>unclaimed wire transfers</w:t>
                          </w:r>
                        </w:hyperlink>
                        <w:r>
                          <w:rPr/>
                          <w:t xml:space="preserve"> currently listed on our </w:t>
                        </w:r>
                        <w:r>
                          <w:rPr>
                            <w:u w:val="single"/>
                          </w:rPr>
                          <w:t>Blink page.</w:t>
                        </w:r>
                        <w:r>
                          <w:rPr/>
                          <w:t xml:space="preserve">  If you recognize any item(s), please contact us by sending an email to </w:t>
                        </w:r>
                        <w:hyperlink r:id="rId25">
                          <w:r>
                            <w:rPr>
                              <w:rStyle w:val="InternetLink"/>
                              <w:color w:val="000000"/>
                              <w:u w:val="single"/>
                            </w:rPr>
                            <w:t>bankwires@ucsd.edu</w:t>
                          </w:r>
                        </w:hyperlink>
                        <w:r>
                          <w:rPr/>
                          <w:t xml:space="preserve">  Also, visit our </w:t>
                        </w:r>
                        <w:hyperlink r:id="rId26">
                          <w:r>
                            <w:rPr>
                              <w:rStyle w:val="InternetLink"/>
                              <w:color w:val="000000"/>
                              <w:u w:val="single"/>
                            </w:rPr>
                            <w:t>Blink page</w:t>
                          </w:r>
                        </w:hyperlink>
                        <w:r>
                          <w:rPr/>
                          <w:t xml:space="preserve"> if you have not received payment as expected from external sources, if you have been informed payment was sent but you have not received it, etc.  Please note that wire transfer (international or domestic) amounts typically reflect the transfer balance after deduction of bank fees, normally around $25.00.</w:t>
                        </w:r>
                      </w:p>
                      <w:p>
                        <w:pPr>
                          <w:pStyle w:val="TextBody"/>
                          <w:rPr>
                            <w:b/>
                            <w:bCs/>
                          </w:rPr>
                        </w:pPr>
                        <w:r>
                          <w:rPr>
                            <w:b/>
                            <w:bCs/>
                          </w:rPr>
                          <w:t>Following are few samples of unclaimed wire transfers:</w:t>
                        </w:r>
                      </w:p>
                      <w:p>
                        <w:pPr>
                          <w:pStyle w:val="TextBody"/>
                          <w:rPr/>
                        </w:pPr>
                        <w:r>
                          <w:rPr/>
                          <w:t xml:space="preserve">06/18/09, $15,000.00, Sender: MONSANTO SAP, Description: PO/REMIT </w:t>
                        </w:r>
                      </w:p>
                      <w:p>
                        <w:pPr>
                          <w:pStyle w:val="TextBody"/>
                          <w:rPr/>
                        </w:pPr>
                        <w:r>
                          <w:rPr/>
                          <w:t>12/04/09, $964,08, Sender: WINDHAM PROF; Description: WINDHAM PROFESSIONALS-</w:t>
                        </w:r>
                      </w:p>
                      <w:p>
                        <w:pPr>
                          <w:pStyle w:val="TextBody"/>
                          <w:rPr/>
                        </w:pPr>
                        <w:r>
                          <w:rPr/>
                          <w:t>07/16/07, $5,700.50, Sender: ASSOCIAZIONE BORSISTI M. , Sender’s bank: DEUTSCHE BANKTRUST CO. AMER</w:t>
                        </w:r>
                      </w:p>
                      <w:p>
                        <w:pPr>
                          <w:pStyle w:val="TextBody"/>
                          <w:rPr/>
                        </w:pPr>
                        <w:r>
                          <w:rPr/>
                          <w:t>10/31/08, $29,363.78, Sender: SANOFI AVENTIS R , Sender’s bank: BNP PARIBAS; Details: YT30560555300819AVIS DE 10/24/08</w:t>
                        </w:r>
                      </w:p>
                      <w:p>
                        <w:pPr>
                          <w:pStyle w:val="TextBody"/>
                          <w:rPr/>
                        </w:pPr>
                        <w:r>
                          <w:rPr/>
                          <w:t>11/24/09, $1,240.00, Sender: QUINTILES UK LIMITED; Sender’s bank: DEUTSCHE BANK TRUST CO. AMER; Details:  PAYMENT OF INVOICE 100409-MK0000086</w:t>
                        </w:r>
                      </w:p>
                      <w:p>
                        <w:pPr>
                          <w:pStyle w:val="TextBody"/>
                          <w:rPr>
                            <w:b/>
                            <w:bCs/>
                          </w:rPr>
                        </w:pPr>
                        <w:r>
                          <w:rPr>
                            <w:b/>
                            <w:bCs/>
                          </w:rPr>
                          <w:t>*****************************************************</w:t>
                        </w:r>
                      </w:p>
                      <w:p>
                        <w:pPr>
                          <w:pStyle w:val="TextBody"/>
                          <w:rPr/>
                        </w:pPr>
                        <w:r>
                          <w:rPr>
                            <w:b/>
                            <w:bCs/>
                          </w:rPr>
                          <w:t>UCSD also receives many deposits that remain unclaimed.</w:t>
                        </w:r>
                        <w:r>
                          <w:rPr/>
                          <w:t xml:space="preserve"> University policy requires all checks to be deposited immediately, including deposits for which the owner department has not yet been identified. </w:t>
                        </w:r>
                      </w:p>
                      <w:p>
                        <w:pPr>
                          <w:pStyle w:val="TextBody"/>
                          <w:rPr/>
                        </w:pPr>
                        <w:r>
                          <w:rPr/>
                          <w:t>The main undistributed cash account for the campus</w:t>
                        </w:r>
                        <w:r>
                          <w:rPr>
                            <w:b/>
                            <w:bCs/>
                          </w:rPr>
                          <w:t xml:space="preserve"> </w:t>
                        </w:r>
                        <w:r>
                          <w:rPr/>
                          <w:t xml:space="preserve">is maintained by </w:t>
                        </w:r>
                        <w:hyperlink r:id="rId27">
                          <w:r>
                            <w:rPr>
                              <w:rStyle w:val="InternetLink"/>
                              <w:color w:val="000000"/>
                              <w:u w:val="single"/>
                            </w:rPr>
                            <w:t>General Accounting</w:t>
                          </w:r>
                        </w:hyperlink>
                        <w:r>
                          <w:rPr/>
                          <w:t xml:space="preserve">. </w:t>
                        </w:r>
                      </w:p>
                      <w:p>
                        <w:pPr>
                          <w:pStyle w:val="TextBody"/>
                          <w:rPr/>
                        </w:pPr>
                        <w:r>
                          <w:rPr/>
                          <w:t xml:space="preserve">Check the </w:t>
                        </w:r>
                        <w:hyperlink r:id="rId28" w:tgtFrame="nkcashcashU">
                          <w:r>
                            <w:rPr>
                              <w:rStyle w:val="InternetLink"/>
                              <w:color w:val="000000"/>
                              <w:u w:val="single"/>
                            </w:rPr>
                            <w:t>undistributed cash list</w:t>
                          </w:r>
                        </w:hyperlink>
                        <w:r>
                          <w:rPr/>
                          <w:t xml:space="preserve"> (PDF). If you recognize a deposit or have information that might help determine the owner, e-mail </w:t>
                        </w:r>
                        <w:hyperlink r:id="rId29">
                          <w:r>
                            <w:rPr>
                              <w:rStyle w:val="InternetLink"/>
                              <w:color w:val="000000"/>
                              <w:u w:val="single"/>
                            </w:rPr>
                            <w:t>General Accounting</w:t>
                          </w:r>
                        </w:hyperlink>
                        <w:r>
                          <w:rPr>
                            <w:u w:val="single"/>
                          </w:rPr>
                          <w:t xml:space="preserve"> </w:t>
                        </w:r>
                        <w:r>
                          <w:rPr/>
                          <w:t>with as much as information as you have. Include all relevant accounting information. Send relevant backup documents (such as invoices, letters, and contracts) to General Accounting at Mail Code 0953 or by fax to (858) 534-8533</w:t>
                        </w:r>
                      </w:p>
                      <w:p>
                        <w:pPr>
                          <w:pStyle w:val="TextBody"/>
                          <w:rPr>
                            <w:b/>
                            <w:bCs/>
                          </w:rPr>
                        </w:pPr>
                        <w:r>
                          <w:rPr>
                            <w:b/>
                            <w:bCs/>
                          </w:rPr>
                          <w:t xml:space="preserve">Following are few samples of Undistributed checks: </w:t>
                        </w:r>
                      </w:p>
                      <w:tbl>
                        <w:tblPr>
                          <w:jc w:val="left"/>
                          <w:tblInd w:w="93" w:type="dxa"/>
                          <w:tblBorders>
                            <w:top w:val="single" w:sz="8" w:space="0" w:color="000000"/>
                            <w:left w:val="single" w:sz="8" w:space="0" w:color="000000"/>
                            <w:bottom w:val="single" w:sz="8" w:space="0" w:color="000000"/>
                            <w:insideH w:val="single" w:sz="8" w:space="0" w:color="000000"/>
                            <w:right w:val="nil"/>
                            <w:insideV w:val="nil"/>
                          </w:tblBorders>
                          <w:tblCellMar>
                            <w:top w:w="0" w:type="dxa"/>
                            <w:left w:w="98" w:type="dxa"/>
                            <w:bottom w:w="0" w:type="dxa"/>
                            <w:right w:w="108" w:type="dxa"/>
                          </w:tblCellMar>
                        </w:tblPr>
                        <w:tblGrid>
                          <w:gridCol w:w="1122"/>
                          <w:gridCol w:w="3673"/>
                          <w:gridCol w:w="908"/>
                          <w:gridCol w:w="1140"/>
                          <w:gridCol w:w="1035"/>
                          <w:gridCol w:w="10"/>
                        </w:tblGrid>
                        <w:tr>
                          <w:trPr>
                            <w:trHeight w:val="113" w:hRule="atLeast"/>
                            <w:cantSplit w:val="false"/>
                          </w:trPr>
                          <w:tc>
                            <w:tcPr>
                              <w:tcW w:w="1122" w:type="dxa"/>
                              <w:tcBorders>
                                <w:top w:val="single" w:sz="8" w:space="0" w:color="000000"/>
                                <w:left w:val="single" w:sz="8" w:space="0" w:color="000000"/>
                                <w:bottom w:val="single" w:sz="8" w:space="0" w:color="000000"/>
                                <w:insideH w:val="single" w:sz="8" w:space="0" w:color="000000"/>
                                <w:right w:val="nil"/>
                                <w:insideV w:val="nil"/>
                              </w:tcBorders>
                              <w:shd w:fill="auto" w:val="clear"/>
                              <w:tcMar>
                                <w:left w:w="98" w:type="dxa"/>
                              </w:tcMar>
                              <w:vAlign w:val="bottom"/>
                            </w:tcPr>
                            <w:p>
                              <w:pPr>
                                <w:pStyle w:val="TextBody"/>
                                <w:spacing w:before="0" w:after="120"/>
                                <w:rPr>
                                  <w:b/>
                                  <w:bCs/>
                                  <w:sz w:val="14"/>
                                  <w:szCs w:val="14"/>
                                </w:rPr>
                              </w:pPr>
                              <w:r>
                                <w:rPr>
                                  <w:b/>
                                  <w:bCs/>
                                  <w:sz w:val="14"/>
                                  <w:szCs w:val="14"/>
                                </w:rPr>
                                <w:t>Date</w:t>
                              </w:r>
                            </w:p>
                          </w:tc>
                          <w:tc>
                            <w:tcPr>
                              <w:tcW w:w="3673" w:type="dxa"/>
                              <w:tcBorders>
                                <w:top w:val="single" w:sz="8" w:space="0" w:color="000000"/>
                                <w:left w:val="single" w:sz="4" w:space="0" w:color="000000"/>
                                <w:bottom w:val="single" w:sz="8" w:space="0" w:color="000000"/>
                                <w:insideH w:val="single" w:sz="8" w:space="0" w:color="000000"/>
                                <w:right w:val="nil"/>
                                <w:insideV w:val="nil"/>
                              </w:tcBorders>
                              <w:shd w:fill="auto" w:val="clear"/>
                              <w:tcMar>
                                <w:left w:w="103" w:type="dxa"/>
                              </w:tcMar>
                              <w:vAlign w:val="bottom"/>
                            </w:tcPr>
                            <w:p>
                              <w:pPr>
                                <w:pStyle w:val="TextBody"/>
                                <w:spacing w:before="0" w:after="120"/>
                                <w:rPr>
                                  <w:b/>
                                  <w:bCs/>
                                  <w:sz w:val="14"/>
                                  <w:szCs w:val="14"/>
                                </w:rPr>
                              </w:pPr>
                              <w:r>
                                <w:rPr>
                                  <w:b/>
                                  <w:bCs/>
                                  <w:sz w:val="14"/>
                                  <w:szCs w:val="14"/>
                                </w:rPr>
                                <w:t>Payer</w:t>
                              </w:r>
                            </w:p>
                          </w:tc>
                          <w:tc>
                            <w:tcPr>
                              <w:tcW w:w="908" w:type="dxa"/>
                              <w:tcBorders>
                                <w:top w:val="single" w:sz="8" w:space="0" w:color="000000"/>
                                <w:left w:val="single" w:sz="4" w:space="0" w:color="000000"/>
                                <w:bottom w:val="single" w:sz="8" w:space="0" w:color="000000"/>
                                <w:insideH w:val="single" w:sz="8" w:space="0" w:color="000000"/>
                                <w:right w:val="nil"/>
                                <w:insideV w:val="nil"/>
                              </w:tcBorders>
                              <w:shd w:fill="auto" w:val="clear"/>
                              <w:tcMar>
                                <w:left w:w="103" w:type="dxa"/>
                              </w:tcMar>
                              <w:vAlign w:val="bottom"/>
                            </w:tcPr>
                            <w:p>
                              <w:pPr>
                                <w:pStyle w:val="TextBody"/>
                                <w:spacing w:before="0" w:after="120"/>
                                <w:rPr>
                                  <w:b/>
                                  <w:bCs/>
                                  <w:sz w:val="14"/>
                                  <w:szCs w:val="14"/>
                                </w:rPr>
                              </w:pPr>
                              <w:r>
                                <w:rPr>
                                  <w:b/>
                                  <w:bCs/>
                                  <w:sz w:val="14"/>
                                  <w:szCs w:val="14"/>
                                </w:rPr>
                                <w:t>Ref. Nr.</w:t>
                              </w:r>
                            </w:p>
                          </w:tc>
                          <w:tc>
                            <w:tcPr>
                              <w:tcW w:w="1140" w:type="dxa"/>
                              <w:tcBorders>
                                <w:top w:val="single" w:sz="8" w:space="0" w:color="000000"/>
                                <w:left w:val="single" w:sz="4" w:space="0" w:color="000000"/>
                                <w:bottom w:val="single" w:sz="8" w:space="0" w:color="000000"/>
                                <w:insideH w:val="single" w:sz="8" w:space="0" w:color="000000"/>
                                <w:right w:val="nil"/>
                                <w:insideV w:val="nil"/>
                              </w:tcBorders>
                              <w:shd w:fill="auto" w:val="clear"/>
                              <w:tcMar>
                                <w:left w:w="103" w:type="dxa"/>
                              </w:tcMar>
                              <w:vAlign w:val="bottom"/>
                            </w:tcPr>
                            <w:p>
                              <w:pPr>
                                <w:pStyle w:val="TextBody"/>
                                <w:spacing w:before="0" w:after="120"/>
                                <w:rPr>
                                  <w:b/>
                                  <w:bCs/>
                                  <w:sz w:val="14"/>
                                  <w:szCs w:val="14"/>
                                </w:rPr>
                              </w:pPr>
                              <w:r>
                                <w:rPr>
                                  <w:b/>
                                  <w:bCs/>
                                  <w:sz w:val="14"/>
                                  <w:szCs w:val="14"/>
                                </w:rPr>
                                <w:t>Check Nr.</w:t>
                              </w:r>
                            </w:p>
                          </w:tc>
                          <w:tc>
                            <w:tcPr>
                              <w:tcW w:w="1045" w:type="dxa"/>
                              <w:tcBorders>
                                <w:top w:val="single" w:sz="8" w:space="0" w:color="000000"/>
                                <w:left w:val="single" w:sz="4" w:space="0" w:color="000000"/>
                                <w:bottom w:val="single" w:sz="8" w:space="0" w:color="000000"/>
                                <w:insideH w:val="single" w:sz="8" w:space="0" w:color="000000"/>
                                <w:right w:val="single" w:sz="8" w:space="0" w:color="000000"/>
                                <w:insideV w:val="single" w:sz="8" w:space="0" w:color="000000"/>
                              </w:tcBorders>
                              <w:shd w:fill="auto" w:val="clear"/>
                              <w:tcMar>
                                <w:left w:w="103" w:type="dxa"/>
                              </w:tcMar>
                              <w:vAlign w:val="bottom"/>
                            </w:tcPr>
                            <w:p>
                              <w:pPr>
                                <w:pStyle w:val="TextBody"/>
                                <w:spacing w:before="0" w:after="120"/>
                                <w:rPr>
                                  <w:b/>
                                  <w:bCs/>
                                  <w:sz w:val="14"/>
                                  <w:szCs w:val="14"/>
                                </w:rPr>
                              </w:pPr>
                              <w:r>
                                <w:rPr>
                                  <w:b/>
                                  <w:bCs/>
                                  <w:sz w:val="14"/>
                                  <w:szCs w:val="14"/>
                                </w:rPr>
                                <w:t>Amount</w:t>
                              </w:r>
                            </w:p>
                          </w:tc>
                        </w:tr>
                        <w:tr>
                          <w:trPr>
                            <w:trHeight w:val="106" w:hRule="atLeast"/>
                            <w:cantSplit w:val="false"/>
                          </w:trPr>
                          <w:tc>
                            <w:tcPr>
                              <w:tcW w:w="1122"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vAlign w:val="bottom"/>
                            </w:tcPr>
                            <w:p>
                              <w:pPr>
                                <w:pStyle w:val="TextBody"/>
                                <w:spacing w:before="0" w:after="120"/>
                                <w:rPr>
                                  <w:sz w:val="14"/>
                                  <w:szCs w:val="14"/>
                                </w:rPr>
                              </w:pPr>
                              <w:r>
                                <w:rPr>
                                  <w:sz w:val="14"/>
                                  <w:szCs w:val="14"/>
                                </w:rPr>
                                <w:t>08/01/07</w:t>
                              </w:r>
                            </w:p>
                          </w:tc>
                          <w:tc>
                            <w:tcPr>
                              <w:tcW w:w="3673"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vAlign w:val="bottom"/>
                            </w:tcPr>
                            <w:p>
                              <w:pPr>
                                <w:pStyle w:val="TextBody"/>
                                <w:spacing w:before="0" w:after="120"/>
                                <w:rPr>
                                  <w:sz w:val="14"/>
                                  <w:szCs w:val="14"/>
                                </w:rPr>
                              </w:pPr>
                              <w:r>
                                <w:rPr>
                                  <w:sz w:val="14"/>
                                  <w:szCs w:val="14"/>
                                </w:rPr>
                                <w:t>08/07 UNIVERSITY OF FLORIDA</w:t>
                              </w:r>
                            </w:p>
                          </w:tc>
                          <w:tc>
                            <w:tcPr>
                              <w:tcW w:w="908"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vAlign w:val="bottom"/>
                            </w:tcPr>
                            <w:p>
                              <w:pPr>
                                <w:pStyle w:val="TextBody"/>
                                <w:spacing w:before="0" w:after="120"/>
                                <w:rPr>
                                  <w:sz w:val="14"/>
                                  <w:szCs w:val="14"/>
                                </w:rPr>
                              </w:pPr>
                              <w:r>
                                <w:rPr>
                                  <w:sz w:val="14"/>
                                  <w:szCs w:val="14"/>
                                </w:rPr>
                                <w:t>105721</w:t>
                              </w:r>
                            </w:p>
                          </w:tc>
                          <w:tc>
                            <w:tcPr>
                              <w:tcW w:w="114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vAlign w:val="bottom"/>
                            </w:tcPr>
                            <w:p>
                              <w:pPr>
                                <w:pStyle w:val="TextBody"/>
                                <w:spacing w:before="0" w:after="120"/>
                                <w:rPr>
                                  <w:sz w:val="14"/>
                                  <w:szCs w:val="14"/>
                                </w:rPr>
                              </w:pPr>
                              <w:r>
                                <w:rPr>
                                  <w:sz w:val="14"/>
                                  <w:szCs w:val="14"/>
                                </w:rPr>
                                <w:t>507816</w:t>
                              </w:r>
                            </w:p>
                          </w:tc>
                          <w:tc>
                            <w:tcPr>
                              <w:tcW w:w="1035"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vAlign w:val="bottom"/>
                            </w:tcPr>
                            <w:p>
                              <w:pPr>
                                <w:pStyle w:val="TextBody"/>
                                <w:spacing w:before="0" w:after="120"/>
                                <w:rPr>
                                  <w:sz w:val="14"/>
                                  <w:szCs w:val="14"/>
                                </w:rPr>
                              </w:pPr>
                              <w:r>
                                <w:rPr>
                                  <w:sz w:val="14"/>
                                  <w:szCs w:val="14"/>
                                </w:rPr>
                                <w:t xml:space="preserve">1,495.00 </w:t>
                              </w:r>
                            </w:p>
                          </w:tc>
                        </w:tr>
                        <w:tr>
                          <w:trPr>
                            <w:trHeight w:val="106" w:hRule="atLeast"/>
                            <w:cantSplit w:val="false"/>
                          </w:trPr>
                          <w:tc>
                            <w:tcPr>
                              <w:tcW w:w="1122" w:type="dxa"/>
                              <w:tcBorders>
                                <w:top w:val="nil"/>
                                <w:left w:val="single" w:sz="4" w:space="0" w:color="000000"/>
                                <w:bottom w:val="single" w:sz="4" w:space="0" w:color="000000"/>
                                <w:insideH w:val="single" w:sz="4" w:space="0" w:color="000000"/>
                                <w:right w:val="nil"/>
                                <w:insideV w:val="nil"/>
                              </w:tcBorders>
                              <w:shd w:fill="auto" w:val="clear"/>
                              <w:tcMar>
                                <w:left w:w="103" w:type="dxa"/>
                              </w:tcMar>
                              <w:vAlign w:val="bottom"/>
                            </w:tcPr>
                            <w:p>
                              <w:pPr>
                                <w:pStyle w:val="TextBody"/>
                                <w:spacing w:before="0" w:after="120"/>
                                <w:rPr>
                                  <w:sz w:val="14"/>
                                  <w:szCs w:val="14"/>
                                </w:rPr>
                              </w:pPr>
                              <w:r>
                                <w:rPr>
                                  <w:sz w:val="14"/>
                                  <w:szCs w:val="14"/>
                                </w:rPr>
                                <w:t>08/01/07</w:t>
                              </w:r>
                            </w:p>
                          </w:tc>
                          <w:tc>
                            <w:tcPr>
                              <w:tcW w:w="3673" w:type="dxa"/>
                              <w:tcBorders>
                                <w:top w:val="nil"/>
                                <w:left w:val="single" w:sz="4" w:space="0" w:color="000000"/>
                                <w:bottom w:val="single" w:sz="4" w:space="0" w:color="000000"/>
                                <w:insideH w:val="single" w:sz="4" w:space="0" w:color="000000"/>
                                <w:right w:val="nil"/>
                                <w:insideV w:val="nil"/>
                              </w:tcBorders>
                              <w:shd w:fill="auto" w:val="clear"/>
                              <w:tcMar>
                                <w:left w:w="103" w:type="dxa"/>
                              </w:tcMar>
                              <w:vAlign w:val="bottom"/>
                            </w:tcPr>
                            <w:p>
                              <w:pPr>
                                <w:pStyle w:val="TextBody"/>
                                <w:spacing w:before="0" w:after="120"/>
                                <w:rPr>
                                  <w:sz w:val="14"/>
                                  <w:szCs w:val="14"/>
                                </w:rPr>
                              </w:pPr>
                              <w:r>
                                <w:rPr>
                                  <w:sz w:val="14"/>
                                  <w:szCs w:val="14"/>
                                </w:rPr>
                                <w:t>MARRIOTT INTERNATIONAL INC</w:t>
                              </w:r>
                            </w:p>
                          </w:tc>
                          <w:tc>
                            <w:tcPr>
                              <w:tcW w:w="908" w:type="dxa"/>
                              <w:tcBorders>
                                <w:top w:val="nil"/>
                                <w:left w:val="single" w:sz="4" w:space="0" w:color="000000"/>
                                <w:bottom w:val="single" w:sz="4" w:space="0" w:color="000000"/>
                                <w:insideH w:val="single" w:sz="4" w:space="0" w:color="000000"/>
                                <w:right w:val="nil"/>
                                <w:insideV w:val="nil"/>
                              </w:tcBorders>
                              <w:shd w:fill="auto" w:val="clear"/>
                              <w:tcMar>
                                <w:left w:w="103" w:type="dxa"/>
                              </w:tcMar>
                              <w:vAlign w:val="bottom"/>
                            </w:tcPr>
                            <w:p>
                              <w:pPr>
                                <w:pStyle w:val="TextBody"/>
                                <w:spacing w:before="0" w:after="120"/>
                                <w:rPr>
                                  <w:sz w:val="14"/>
                                  <w:szCs w:val="14"/>
                                </w:rPr>
                              </w:pPr>
                              <w:r>
                                <w:rPr>
                                  <w:sz w:val="14"/>
                                  <w:szCs w:val="14"/>
                                </w:rPr>
                                <w:t>105723</w:t>
                              </w:r>
                            </w:p>
                          </w:tc>
                          <w:tc>
                            <w:tcPr>
                              <w:tcW w:w="1140" w:type="dxa"/>
                              <w:tcBorders>
                                <w:top w:val="nil"/>
                                <w:left w:val="single" w:sz="4" w:space="0" w:color="000000"/>
                                <w:bottom w:val="single" w:sz="4" w:space="0" w:color="000000"/>
                                <w:insideH w:val="single" w:sz="4" w:space="0" w:color="000000"/>
                                <w:right w:val="nil"/>
                                <w:insideV w:val="nil"/>
                              </w:tcBorders>
                              <w:shd w:fill="auto" w:val="clear"/>
                              <w:tcMar>
                                <w:left w:w="103" w:type="dxa"/>
                              </w:tcMar>
                              <w:vAlign w:val="bottom"/>
                            </w:tcPr>
                            <w:p>
                              <w:pPr>
                                <w:pStyle w:val="TextBody"/>
                                <w:spacing w:before="0" w:after="120"/>
                                <w:rPr>
                                  <w:sz w:val="14"/>
                                  <w:szCs w:val="14"/>
                                </w:rPr>
                              </w:pPr>
                              <w:r>
                                <w:rPr>
                                  <w:sz w:val="14"/>
                                  <w:szCs w:val="14"/>
                                </w:rPr>
                                <w:t>4609994</w:t>
                              </w:r>
                            </w:p>
                          </w:tc>
                          <w:tc>
                            <w:tcPr>
                              <w:tcW w:w="1035" w:type="dxa"/>
                              <w:tcBorders>
                                <w:top w:val="nil"/>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vAlign w:val="bottom"/>
                            </w:tcPr>
                            <w:p>
                              <w:pPr>
                                <w:pStyle w:val="TextBody"/>
                                <w:spacing w:before="0" w:after="120"/>
                                <w:rPr>
                                  <w:sz w:val="14"/>
                                  <w:szCs w:val="14"/>
                                </w:rPr>
                              </w:pPr>
                              <w:r>
                                <w:rPr>
                                  <w:sz w:val="14"/>
                                  <w:szCs w:val="14"/>
                                </w:rPr>
                                <w:t xml:space="preserve">171.60 </w:t>
                              </w:r>
                            </w:p>
                          </w:tc>
                        </w:tr>
                        <w:tr>
                          <w:trPr>
                            <w:trHeight w:val="106" w:hRule="atLeast"/>
                            <w:cantSplit w:val="false"/>
                          </w:trPr>
                          <w:tc>
                            <w:tcPr>
                              <w:tcW w:w="1122" w:type="dxa"/>
                              <w:tcBorders>
                                <w:top w:val="nil"/>
                                <w:left w:val="single" w:sz="4" w:space="0" w:color="000000"/>
                                <w:bottom w:val="single" w:sz="4" w:space="0" w:color="000000"/>
                                <w:insideH w:val="single" w:sz="4" w:space="0" w:color="000000"/>
                                <w:right w:val="nil"/>
                                <w:insideV w:val="nil"/>
                              </w:tcBorders>
                              <w:shd w:fill="auto" w:val="clear"/>
                              <w:tcMar>
                                <w:left w:w="103" w:type="dxa"/>
                              </w:tcMar>
                              <w:vAlign w:val="bottom"/>
                            </w:tcPr>
                            <w:p>
                              <w:pPr>
                                <w:pStyle w:val="TextBody"/>
                                <w:spacing w:before="0" w:after="120"/>
                                <w:rPr>
                                  <w:sz w:val="14"/>
                                  <w:szCs w:val="14"/>
                                </w:rPr>
                              </w:pPr>
                              <w:r>
                                <w:rPr>
                                  <w:sz w:val="14"/>
                                  <w:szCs w:val="14"/>
                                </w:rPr>
                                <w:t>04/25/08</w:t>
                              </w:r>
                            </w:p>
                          </w:tc>
                          <w:tc>
                            <w:tcPr>
                              <w:tcW w:w="3673" w:type="dxa"/>
                              <w:tcBorders>
                                <w:top w:val="nil"/>
                                <w:left w:val="single" w:sz="4" w:space="0" w:color="000000"/>
                                <w:bottom w:val="single" w:sz="4" w:space="0" w:color="000000"/>
                                <w:insideH w:val="single" w:sz="4" w:space="0" w:color="000000"/>
                                <w:right w:val="nil"/>
                                <w:insideV w:val="nil"/>
                              </w:tcBorders>
                              <w:shd w:fill="auto" w:val="clear"/>
                              <w:tcMar>
                                <w:left w:w="103" w:type="dxa"/>
                              </w:tcMar>
                              <w:vAlign w:val="bottom"/>
                            </w:tcPr>
                            <w:p>
                              <w:pPr>
                                <w:pStyle w:val="TextBody"/>
                                <w:spacing w:before="0" w:after="120"/>
                                <w:rPr>
                                  <w:sz w:val="14"/>
                                  <w:szCs w:val="14"/>
                                </w:rPr>
                              </w:pPr>
                              <w:r>
                                <w:rPr>
                                  <w:sz w:val="14"/>
                                  <w:szCs w:val="14"/>
                                </w:rPr>
                                <w:t>04/08 MAXENTRIC TECHNOLOGIES LLC</w:t>
                              </w:r>
                            </w:p>
                          </w:tc>
                          <w:tc>
                            <w:tcPr>
                              <w:tcW w:w="908" w:type="dxa"/>
                              <w:tcBorders>
                                <w:top w:val="nil"/>
                                <w:left w:val="single" w:sz="4" w:space="0" w:color="000000"/>
                                <w:bottom w:val="single" w:sz="4" w:space="0" w:color="000000"/>
                                <w:insideH w:val="single" w:sz="4" w:space="0" w:color="000000"/>
                                <w:right w:val="nil"/>
                                <w:insideV w:val="nil"/>
                              </w:tcBorders>
                              <w:shd w:fill="auto" w:val="clear"/>
                              <w:tcMar>
                                <w:left w:w="103" w:type="dxa"/>
                              </w:tcMar>
                              <w:vAlign w:val="bottom"/>
                            </w:tcPr>
                            <w:p>
                              <w:pPr>
                                <w:pStyle w:val="TextBody"/>
                                <w:spacing w:before="0" w:after="120"/>
                                <w:rPr>
                                  <w:sz w:val="14"/>
                                  <w:szCs w:val="14"/>
                                </w:rPr>
                              </w:pPr>
                              <w:r>
                                <w:rPr>
                                  <w:sz w:val="14"/>
                                  <w:szCs w:val="14"/>
                                </w:rPr>
                                <w:t>105799</w:t>
                              </w:r>
                            </w:p>
                          </w:tc>
                          <w:tc>
                            <w:tcPr>
                              <w:tcW w:w="1140" w:type="dxa"/>
                              <w:tcBorders>
                                <w:top w:val="nil"/>
                                <w:left w:val="single" w:sz="4" w:space="0" w:color="000000"/>
                                <w:bottom w:val="single" w:sz="4" w:space="0" w:color="000000"/>
                                <w:insideH w:val="single" w:sz="4" w:space="0" w:color="000000"/>
                                <w:right w:val="nil"/>
                                <w:insideV w:val="nil"/>
                              </w:tcBorders>
                              <w:shd w:fill="auto" w:val="clear"/>
                              <w:tcMar>
                                <w:left w:w="103" w:type="dxa"/>
                              </w:tcMar>
                              <w:vAlign w:val="bottom"/>
                            </w:tcPr>
                            <w:p>
                              <w:pPr>
                                <w:pStyle w:val="TextBody"/>
                                <w:spacing w:before="0" w:after="120"/>
                                <w:rPr>
                                  <w:sz w:val="14"/>
                                  <w:szCs w:val="14"/>
                                </w:rPr>
                              </w:pPr>
                              <w:r>
                                <w:rPr>
                                  <w:sz w:val="14"/>
                                  <w:szCs w:val="14"/>
                                </w:rPr>
                                <w:t>2214</w:t>
                              </w:r>
                            </w:p>
                          </w:tc>
                          <w:tc>
                            <w:tcPr>
                              <w:tcW w:w="1035" w:type="dxa"/>
                              <w:tcBorders>
                                <w:top w:val="nil"/>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vAlign w:val="bottom"/>
                            </w:tcPr>
                            <w:p>
                              <w:pPr>
                                <w:pStyle w:val="TextBody"/>
                                <w:spacing w:before="0" w:after="120"/>
                                <w:rPr>
                                  <w:sz w:val="14"/>
                                  <w:szCs w:val="14"/>
                                </w:rPr>
                              </w:pPr>
                              <w:r>
                                <w:rPr>
                                  <w:sz w:val="14"/>
                                  <w:szCs w:val="14"/>
                                </w:rPr>
                                <w:t xml:space="preserve">2,500.00 </w:t>
                              </w:r>
                            </w:p>
                          </w:tc>
                        </w:tr>
                        <w:tr>
                          <w:trPr>
                            <w:trHeight w:val="106" w:hRule="atLeast"/>
                            <w:cantSplit w:val="false"/>
                          </w:trPr>
                          <w:tc>
                            <w:tcPr>
                              <w:tcW w:w="1122" w:type="dxa"/>
                              <w:tcBorders>
                                <w:top w:val="nil"/>
                                <w:left w:val="single" w:sz="4" w:space="0" w:color="000000"/>
                                <w:bottom w:val="single" w:sz="4" w:space="0" w:color="000000"/>
                                <w:insideH w:val="single" w:sz="4" w:space="0" w:color="000000"/>
                                <w:right w:val="nil"/>
                                <w:insideV w:val="nil"/>
                              </w:tcBorders>
                              <w:shd w:fill="auto" w:val="clear"/>
                              <w:tcMar>
                                <w:left w:w="103" w:type="dxa"/>
                              </w:tcMar>
                              <w:vAlign w:val="bottom"/>
                            </w:tcPr>
                            <w:p>
                              <w:pPr>
                                <w:pStyle w:val="TextBody"/>
                                <w:spacing w:before="0" w:after="120"/>
                                <w:rPr>
                                  <w:sz w:val="14"/>
                                  <w:szCs w:val="14"/>
                                </w:rPr>
                              </w:pPr>
                              <w:r>
                                <w:rPr>
                                  <w:sz w:val="14"/>
                                  <w:szCs w:val="14"/>
                                </w:rPr>
                                <w:t>05/01/09</w:t>
                              </w:r>
                            </w:p>
                          </w:tc>
                          <w:tc>
                            <w:tcPr>
                              <w:tcW w:w="3673" w:type="dxa"/>
                              <w:tcBorders>
                                <w:top w:val="nil"/>
                                <w:left w:val="single" w:sz="4" w:space="0" w:color="000000"/>
                                <w:bottom w:val="single" w:sz="4" w:space="0" w:color="000000"/>
                                <w:insideH w:val="single" w:sz="4" w:space="0" w:color="000000"/>
                                <w:right w:val="nil"/>
                                <w:insideV w:val="nil"/>
                              </w:tcBorders>
                              <w:shd w:fill="auto" w:val="clear"/>
                              <w:tcMar>
                                <w:left w:w="103" w:type="dxa"/>
                              </w:tcMar>
                              <w:vAlign w:val="bottom"/>
                            </w:tcPr>
                            <w:p>
                              <w:pPr>
                                <w:pStyle w:val="TextBody"/>
                                <w:spacing w:before="0" w:after="120"/>
                                <w:rPr>
                                  <w:sz w:val="14"/>
                                  <w:szCs w:val="14"/>
                                </w:rPr>
                              </w:pPr>
                              <w:r>
                                <w:rPr>
                                  <w:sz w:val="14"/>
                                  <w:szCs w:val="14"/>
                                </w:rPr>
                                <w:t xml:space="preserve">04/09 FUJITSU                      </w:t>
                              </w:r>
                            </w:p>
                          </w:tc>
                          <w:tc>
                            <w:tcPr>
                              <w:tcW w:w="908" w:type="dxa"/>
                              <w:tcBorders>
                                <w:top w:val="nil"/>
                                <w:left w:val="single" w:sz="4" w:space="0" w:color="000000"/>
                                <w:bottom w:val="single" w:sz="4" w:space="0" w:color="000000"/>
                                <w:insideH w:val="single" w:sz="4" w:space="0" w:color="000000"/>
                                <w:right w:val="nil"/>
                                <w:insideV w:val="nil"/>
                              </w:tcBorders>
                              <w:shd w:fill="auto" w:val="clear"/>
                              <w:tcMar>
                                <w:left w:w="103" w:type="dxa"/>
                              </w:tcMar>
                              <w:vAlign w:val="bottom"/>
                            </w:tcPr>
                            <w:p>
                              <w:pPr>
                                <w:pStyle w:val="TextBody"/>
                                <w:spacing w:before="0" w:after="120"/>
                                <w:rPr>
                                  <w:sz w:val="14"/>
                                  <w:szCs w:val="14"/>
                                </w:rPr>
                              </w:pPr>
                              <w:r>
                                <w:rPr>
                                  <w:sz w:val="14"/>
                                  <w:szCs w:val="14"/>
                                </w:rPr>
                                <w:t>105907</w:t>
                              </w:r>
                            </w:p>
                          </w:tc>
                          <w:tc>
                            <w:tcPr>
                              <w:tcW w:w="1140" w:type="dxa"/>
                              <w:tcBorders>
                                <w:top w:val="nil"/>
                                <w:left w:val="single" w:sz="4" w:space="0" w:color="000000"/>
                                <w:bottom w:val="single" w:sz="4" w:space="0" w:color="000000"/>
                                <w:insideH w:val="single" w:sz="4" w:space="0" w:color="000000"/>
                                <w:right w:val="nil"/>
                                <w:insideV w:val="nil"/>
                              </w:tcBorders>
                              <w:shd w:fill="auto" w:val="clear"/>
                              <w:tcMar>
                                <w:left w:w="103" w:type="dxa"/>
                              </w:tcMar>
                              <w:vAlign w:val="bottom"/>
                            </w:tcPr>
                            <w:p>
                              <w:pPr>
                                <w:pStyle w:val="TextBody"/>
                                <w:spacing w:before="0" w:after="120"/>
                                <w:rPr>
                                  <w:sz w:val="14"/>
                                  <w:szCs w:val="14"/>
                                </w:rPr>
                              </w:pPr>
                              <w:r>
                                <w:rPr>
                                  <w:sz w:val="14"/>
                                  <w:szCs w:val="14"/>
                                </w:rPr>
                                <w:t>3856</w:t>
                              </w:r>
                            </w:p>
                          </w:tc>
                          <w:tc>
                            <w:tcPr>
                              <w:tcW w:w="1035" w:type="dxa"/>
                              <w:tcBorders>
                                <w:top w:val="nil"/>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vAlign w:val="bottom"/>
                            </w:tcPr>
                            <w:p>
                              <w:pPr>
                                <w:pStyle w:val="TextBody"/>
                                <w:spacing w:before="0" w:after="120"/>
                                <w:rPr>
                                  <w:sz w:val="14"/>
                                  <w:szCs w:val="14"/>
                                </w:rPr>
                              </w:pPr>
                              <w:r>
                                <w:rPr>
                                  <w:sz w:val="14"/>
                                  <w:szCs w:val="14"/>
                                </w:rPr>
                                <w:t xml:space="preserve">50.00 </w:t>
                              </w:r>
                            </w:p>
                          </w:tc>
                        </w:tr>
                        <w:tr>
                          <w:trPr>
                            <w:trHeight w:val="106" w:hRule="atLeast"/>
                            <w:cantSplit w:val="false"/>
                          </w:trPr>
                          <w:tc>
                            <w:tcPr>
                              <w:tcW w:w="1122" w:type="dxa"/>
                              <w:tcBorders>
                                <w:top w:val="nil"/>
                                <w:left w:val="single" w:sz="4" w:space="0" w:color="000000"/>
                                <w:bottom w:val="single" w:sz="4" w:space="0" w:color="000000"/>
                                <w:insideH w:val="single" w:sz="4" w:space="0" w:color="000000"/>
                                <w:right w:val="nil"/>
                                <w:insideV w:val="nil"/>
                              </w:tcBorders>
                              <w:shd w:fill="auto" w:val="clear"/>
                              <w:tcMar>
                                <w:left w:w="103" w:type="dxa"/>
                              </w:tcMar>
                              <w:vAlign w:val="bottom"/>
                            </w:tcPr>
                            <w:p>
                              <w:pPr>
                                <w:pStyle w:val="TextBody"/>
                                <w:spacing w:before="0" w:after="120"/>
                                <w:rPr>
                                  <w:sz w:val="14"/>
                                  <w:szCs w:val="14"/>
                                </w:rPr>
                              </w:pPr>
                              <w:r>
                                <w:rPr>
                                  <w:sz w:val="14"/>
                                  <w:szCs w:val="14"/>
                                </w:rPr>
                                <w:t>10/08/09</w:t>
                              </w:r>
                            </w:p>
                          </w:tc>
                          <w:tc>
                            <w:tcPr>
                              <w:tcW w:w="3673" w:type="dxa"/>
                              <w:tcBorders>
                                <w:top w:val="nil"/>
                                <w:left w:val="single" w:sz="4" w:space="0" w:color="000000"/>
                                <w:bottom w:val="single" w:sz="4" w:space="0" w:color="000000"/>
                                <w:insideH w:val="single" w:sz="4" w:space="0" w:color="000000"/>
                                <w:right w:val="nil"/>
                                <w:insideV w:val="nil"/>
                              </w:tcBorders>
                              <w:shd w:fill="auto" w:val="clear"/>
                              <w:tcMar>
                                <w:left w:w="103" w:type="dxa"/>
                              </w:tcMar>
                              <w:vAlign w:val="bottom"/>
                            </w:tcPr>
                            <w:p>
                              <w:pPr>
                                <w:pStyle w:val="TextBody"/>
                                <w:spacing w:before="0" w:after="120"/>
                                <w:rPr>
                                  <w:sz w:val="14"/>
                                  <w:szCs w:val="14"/>
                                </w:rPr>
                              </w:pPr>
                              <w:r>
                                <w:rPr>
                                  <w:sz w:val="14"/>
                                  <w:szCs w:val="14"/>
                                </w:rPr>
                                <w:t xml:space="preserve">10/09 BATTELLE PACIFIC NW DIVISION </w:t>
                              </w:r>
                            </w:p>
                          </w:tc>
                          <w:tc>
                            <w:tcPr>
                              <w:tcW w:w="908" w:type="dxa"/>
                              <w:tcBorders>
                                <w:top w:val="nil"/>
                                <w:left w:val="single" w:sz="4" w:space="0" w:color="000000"/>
                                <w:bottom w:val="single" w:sz="4" w:space="0" w:color="000000"/>
                                <w:insideH w:val="single" w:sz="4" w:space="0" w:color="000000"/>
                                <w:right w:val="nil"/>
                                <w:insideV w:val="nil"/>
                              </w:tcBorders>
                              <w:shd w:fill="auto" w:val="clear"/>
                              <w:tcMar>
                                <w:left w:w="103" w:type="dxa"/>
                              </w:tcMar>
                              <w:vAlign w:val="bottom"/>
                            </w:tcPr>
                            <w:p>
                              <w:pPr>
                                <w:pStyle w:val="TextBody"/>
                                <w:spacing w:before="0" w:after="120"/>
                                <w:rPr>
                                  <w:sz w:val="14"/>
                                  <w:szCs w:val="14"/>
                                </w:rPr>
                              </w:pPr>
                              <w:r>
                                <w:rPr>
                                  <w:sz w:val="14"/>
                                  <w:szCs w:val="14"/>
                                </w:rPr>
                                <w:t>105936</w:t>
                              </w:r>
                            </w:p>
                          </w:tc>
                          <w:tc>
                            <w:tcPr>
                              <w:tcW w:w="1140" w:type="dxa"/>
                              <w:tcBorders>
                                <w:top w:val="nil"/>
                                <w:left w:val="single" w:sz="4" w:space="0" w:color="000000"/>
                                <w:bottom w:val="single" w:sz="4" w:space="0" w:color="000000"/>
                                <w:insideH w:val="single" w:sz="4" w:space="0" w:color="000000"/>
                                <w:right w:val="nil"/>
                                <w:insideV w:val="nil"/>
                              </w:tcBorders>
                              <w:shd w:fill="auto" w:val="clear"/>
                              <w:tcMar>
                                <w:left w:w="103" w:type="dxa"/>
                              </w:tcMar>
                              <w:vAlign w:val="bottom"/>
                            </w:tcPr>
                            <w:p>
                              <w:pPr>
                                <w:pStyle w:val="TextBody"/>
                                <w:spacing w:before="0" w:after="120"/>
                                <w:rPr>
                                  <w:sz w:val="14"/>
                                  <w:szCs w:val="14"/>
                                </w:rPr>
                              </w:pPr>
                              <w:r>
                                <w:rPr>
                                  <w:sz w:val="14"/>
                                  <w:szCs w:val="14"/>
                                </w:rPr>
                                <w:t>750080</w:t>
                              </w:r>
                            </w:p>
                          </w:tc>
                          <w:tc>
                            <w:tcPr>
                              <w:tcW w:w="1035" w:type="dxa"/>
                              <w:tcBorders>
                                <w:top w:val="nil"/>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vAlign w:val="bottom"/>
                            </w:tcPr>
                            <w:p>
                              <w:pPr>
                                <w:pStyle w:val="TextBody"/>
                                <w:spacing w:before="0" w:after="120"/>
                                <w:rPr>
                                  <w:sz w:val="14"/>
                                  <w:szCs w:val="14"/>
                                </w:rPr>
                              </w:pPr>
                              <w:r>
                                <w:rPr>
                                  <w:sz w:val="14"/>
                                  <w:szCs w:val="14"/>
                                </w:rPr>
                                <w:t xml:space="preserve">645.01 </w:t>
                              </w:r>
                            </w:p>
                          </w:tc>
                        </w:tr>
                      </w:tbl>
                      <w:p>
                        <w:pPr>
                          <w:pStyle w:val="TextBody"/>
                          <w:spacing w:before="0" w:after="120"/>
                          <w:rPr/>
                        </w:pPr>
                        <w:r>
                          <w:rPr/>
                        </w:r>
                      </w:p>
                    </w:tc>
                    <w:tc>
                      <w:tcPr>
                        <w:tcW w:w="2160" w:type="dxa"/>
                        <w:tcBorders>
                          <w:top w:val="nil"/>
                          <w:left w:val="nil"/>
                          <w:bottom w:val="nil"/>
                          <w:insideH w:val="nil"/>
                          <w:right w:val="nil"/>
                          <w:insideV w:val="nil"/>
                        </w:tcBorders>
                        <w:shd w:fill="auto" w:val="clear"/>
                        <w:tcMar>
                          <w:left w:w="0" w:type="dxa"/>
                          <w:right w:w="0" w:type="dxa"/>
                        </w:tcMar>
                      </w:tcPr>
                      <w:p>
                        <w:pPr>
                          <w:pStyle w:val="Normal"/>
                          <w:snapToGrid w:val="false"/>
                          <w:rPr>
                            <w:rFonts w:cs="Verdana" w:ascii="Verdana" w:hAnsi="Verdana"/>
                            <w:sz w:val="20"/>
                            <w:szCs w:val="20"/>
                          </w:rPr>
                        </w:pPr>
                        <w:r>
                          <w:rPr>
                            <w:rFonts w:cs="Verdana" w:ascii="Verdana" w:hAnsi="Verdana"/>
                            <w:sz w:val="20"/>
                            <w:szCs w:val="20"/>
                          </w:rPr>
                        </w:r>
                      </w:p>
                    </w:tc>
                  </w:tr>
                  <w:tr>
                    <w:trPr>
                      <w:cantSplit w:val="false"/>
                    </w:trPr>
                    <w:tc>
                      <w:tcPr>
                        <w:tcW w:w="2691" w:type="dxa"/>
                        <w:tcBorders>
                          <w:top w:val="nil"/>
                          <w:left w:val="nil"/>
                          <w:bottom w:val="nil"/>
                          <w:insideH w:val="nil"/>
                          <w:right w:val="nil"/>
                          <w:insideV w:val="nil"/>
                        </w:tcBorders>
                        <w:shd w:fill="0066CC" w:val="clear"/>
                      </w:tcPr>
                      <w:p>
                        <w:pPr>
                          <w:pStyle w:val="TableofContentsHeading"/>
                          <w:snapToGrid w:val="false"/>
                          <w:spacing w:before="240" w:after="0"/>
                          <w:rPr>
                            <w:rFonts w:cs="Verdana" w:ascii="Verdana" w:hAnsi="Verdana"/>
                          </w:rPr>
                        </w:pPr>
                        <w:r>
                          <w:rPr>
                            <w:rFonts w:cs="Verdana" w:ascii="Verdana" w:hAnsi="Verdana"/>
                          </w:rPr>
                        </w:r>
                      </w:p>
                    </w:tc>
                    <w:tc>
                      <w:tcPr>
                        <w:tcW w:w="10557" w:type="dxa"/>
                        <w:gridSpan w:val="2"/>
                        <w:tcBorders>
                          <w:top w:val="nil"/>
                          <w:left w:val="nil"/>
                          <w:bottom w:val="nil"/>
                          <w:insideH w:val="nil"/>
                          <w:right w:val="nil"/>
                          <w:insideV w:val="nil"/>
                        </w:tcBorders>
                        <w:shd w:fill="auto" w:val="clear"/>
                      </w:tcPr>
                      <w:p>
                        <w:pPr>
                          <w:pStyle w:val="Normal"/>
                          <w:snapToGrid w:val="false"/>
                          <w:jc w:val="both"/>
                          <w:rPr>
                            <w:rFonts w:cs="Verdana" w:ascii="Verdana" w:hAnsi="Verdana"/>
                            <w:iCs/>
                            <w:sz w:val="16"/>
                            <w:szCs w:val="16"/>
                            <w:u w:val="single"/>
                          </w:rPr>
                        </w:pPr>
                        <w:r>
                          <w:rPr>
                            <w:rFonts w:cs="Verdana" w:ascii="Verdana" w:hAnsi="Verdana"/>
                            <w:iCs/>
                            <w:sz w:val="16"/>
                            <w:szCs w:val="16"/>
                            <w:u w:val="single"/>
                          </w:rPr>
                        </w:r>
                      </w:p>
                      <w:p>
                        <w:pPr>
                          <w:pStyle w:val="Normal"/>
                          <w:jc w:val="both"/>
                          <w:rPr>
                            <w:rFonts w:cs="Verdana" w:ascii="Verdana" w:hAnsi="Verdana"/>
                            <w:iCs/>
                            <w:sz w:val="16"/>
                            <w:szCs w:val="16"/>
                            <w:u w:val="single"/>
                          </w:rPr>
                        </w:pPr>
                        <w:r>
                          <w:rPr>
                            <w:rFonts w:cs="Verdana" w:ascii="Verdana" w:hAnsi="Verdana"/>
                            <w:iCs/>
                            <w:sz w:val="16"/>
                            <w:szCs w:val="16"/>
                            <w:u w:val="single"/>
                          </w:rPr>
                        </w:r>
                      </w:p>
                      <w:p>
                        <w:pPr>
                          <w:pStyle w:val="TextBody"/>
                          <w:spacing w:before="0" w:after="120"/>
                          <w:jc w:val="both"/>
                          <w:rPr>
                            <w:rStyle w:val="InternetLink"/>
                            <w:b/>
                            <w:color w:val="17365D"/>
                            <w:u w:val="single"/>
                          </w:rPr>
                        </w:pPr>
                        <w:hyperlink w:anchor="_top">
                          <w:r>
                            <w:rPr>
                              <w:rStyle w:val="InternetLink"/>
                              <w:b/>
                              <w:color w:val="17365D"/>
                              <w:u w:val="single"/>
                            </w:rPr>
                            <w:t>Back to top of newsletter</w:t>
                          </w:r>
                        </w:hyperlink>
                      </w:p>
                    </w:tc>
                  </w:tr>
                </w:tbl>
              </w:txbxContent>
            </v:textbox>
            <w10:wrap type="square"/>
          </v:rect>
        </w:pict>
      </w:r>
    </w:p>
    <w:sectPr>
      <w:type w:val="nextPage"/>
      <w:pgSz w:w="12240" w:h="15840"/>
      <w:pgMar w:left="864" w:right="864" w:header="0" w:top="864" w:footer="0" w:bottom="86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rebuchet MS">
    <w:charset w:val="00"/>
    <w:family w:val="swiss"/>
    <w:pitch w:val="variable"/>
  </w:font>
  <w:font w:name="Cambria">
    <w:charset w:val="00"/>
    <w:family w:val="roman"/>
    <w:pitch w:val="variable"/>
  </w:font>
  <w:font w:name="Symbol">
    <w:charset w:val="01"/>
    <w:family w:val="roman"/>
    <w:pitch w:val="variable"/>
  </w:font>
  <w:font w:name="Courier New">
    <w:charset w:val="00"/>
    <w:family w:val="modern"/>
    <w:pitch w:val="default"/>
  </w:font>
  <w:font w:name="Wingdings">
    <w:charset w:val="02"/>
    <w:family w:val="auto"/>
    <w:pitch w:val="variable"/>
  </w:font>
  <w:font w:name="WP TypographicSymbols">
    <w:charset w:val="02"/>
    <w:family w:val="auto"/>
    <w:pitch w:val="variable"/>
  </w:font>
  <w:font w:name="Verdana">
    <w:charset w:val="00"/>
    <w:family w:val="swiss"/>
    <w:pitch w:val="variable"/>
  </w:font>
  <w:font w:name="Liberation Sans">
    <w:altName w:val="Arial"/>
    <w:charset w:val="01"/>
    <w:family w:val="swiss"/>
    <w:pitch w:val="variable"/>
  </w:font>
  <w:font w:name="Tahoma">
    <w:charset w:val="00"/>
    <w:family w:val="swiss"/>
    <w:pitch w:val="variable"/>
  </w:font>
  <w:font w:name="Calibri">
    <w:charset w:val="00"/>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bullet"/>
      <w:lvlText w:val=""/>
      <w:lvlJc w:val="left"/>
      <w:pPr>
        <w:tabs>
          <w:tab w:val="num" w:pos="216"/>
        </w:tabs>
        <w:ind w:left="216" w:hanging="216"/>
      </w:pPr>
      <w:rPr>
        <w:rFonts w:ascii="Symbol" w:hAnsi="Symbol" w:cs="Symbol" w:hint="default"/>
      </w:rPr>
    </w:lvl>
  </w:abstractNum>
  <w:abstractNum w:abstractNumId="3">
    <w:lvl w:ilvl="0">
      <w:start w:val="1"/>
      <w:numFmt w:val="bullet"/>
      <w:lvlText w:val=""/>
      <w:lvlJc w:val="left"/>
      <w:pPr>
        <w:ind w:left="720" w:hanging="360"/>
      </w:pPr>
      <w:rPr>
        <w:rFonts w:ascii="Symbol" w:hAnsi="Symbol" w:cs="Symbol" w:hint="default"/>
      </w:r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isplayBackgroundShape/>
  <w:defaultTabStop w:val="720"/>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suppressAutoHyphens w:val="true"/>
      <w:bidi w:val="0"/>
    </w:pPr>
    <w:rPr>
      <w:rFonts w:ascii="Times New Roman" w:hAnsi="Times New Roman" w:eastAsia="Times New Roman" w:cs="Times New Roman"/>
      <w:color w:val="auto"/>
      <w:sz w:val="24"/>
      <w:szCs w:val="24"/>
      <w:lang w:val="en-US" w:bidi="ar-SA" w:eastAsia="zh-CN"/>
    </w:rPr>
  </w:style>
  <w:style w:type="paragraph" w:styleId="Heading1">
    <w:name w:val="Heading 1"/>
    <w:basedOn w:val="Normal"/>
    <w:next w:val="Normal"/>
    <w:pPr>
      <w:keepNext/>
      <w:numPr>
        <w:ilvl w:val="0"/>
        <w:numId w:val="1"/>
      </w:numPr>
      <w:spacing w:before="120" w:after="0"/>
      <w:outlineLvl w:val="0"/>
      <w:outlineLvl w:val="0"/>
    </w:pPr>
    <w:rPr>
      <w:rFonts w:ascii="Trebuchet MS" w:hAnsi="Trebuchet MS" w:cs="Arial"/>
      <w:color w:val="0066CC"/>
      <w:sz w:val="36"/>
      <w:szCs w:val="38"/>
    </w:rPr>
  </w:style>
  <w:style w:type="paragraph" w:styleId="Heading2">
    <w:name w:val="Heading 2"/>
    <w:basedOn w:val="Heading1"/>
    <w:next w:val="Normal"/>
    <w:pPr>
      <w:numPr>
        <w:ilvl w:val="1"/>
        <w:numId w:val="1"/>
      </w:numPr>
      <w:pBdr>
        <w:top w:val="single" w:sz="18" w:space="6" w:color="000080"/>
        <w:left w:val="nil"/>
        <w:bottom w:val="nil"/>
        <w:right w:val="nil"/>
      </w:pBdr>
      <w:spacing w:before="240" w:after="0"/>
      <w:outlineLvl w:val="1"/>
      <w:outlineLvl w:val="1"/>
    </w:pPr>
    <w:rPr/>
  </w:style>
  <w:style w:type="paragraph" w:styleId="Heading3">
    <w:name w:val="Heading 3"/>
    <w:basedOn w:val="Normal"/>
    <w:next w:val="Normal"/>
    <w:pPr>
      <w:keepNext/>
      <w:numPr>
        <w:ilvl w:val="2"/>
        <w:numId w:val="1"/>
      </w:numPr>
      <w:spacing w:before="240" w:after="60"/>
      <w:outlineLvl w:val="2"/>
      <w:outlineLvl w:val="2"/>
    </w:pPr>
    <w:rPr>
      <w:rFonts w:ascii="Cambria" w:hAnsi="Cambria" w:eastAsia="Times New Roman" w:cs="Times New Roman"/>
      <w:b/>
      <w:bCs/>
      <w:sz w:val="26"/>
      <w:szCs w:val="26"/>
    </w:rPr>
  </w:style>
  <w:style w:type="character" w:styleId="WW8Num1z0">
    <w:name w:val="WW8Num1z0"/>
    <w:rPr/>
  </w:style>
  <w:style w:type="character" w:styleId="WW8Num2z0">
    <w:name w:val="WW8Num2z0"/>
    <w:rPr>
      <w:rFonts w:ascii="Symbol" w:hAnsi="Symbol" w:cs="Symbol"/>
    </w:rPr>
  </w:style>
  <w:style w:type="character" w:styleId="WW8Num2z1">
    <w:name w:val="WW8Num2z1"/>
    <w:rPr/>
  </w:style>
  <w:style w:type="character" w:styleId="WW8Num2z2">
    <w:name w:val="WW8Num2z2"/>
    <w:rPr/>
  </w:style>
  <w:style w:type="character" w:styleId="WW8Num2z3">
    <w:name w:val="WW8Num2z3"/>
    <w:rPr/>
  </w:style>
  <w:style w:type="character" w:styleId="WW8Num2z4">
    <w:name w:val="WW8Num2z4"/>
    <w:rPr/>
  </w:style>
  <w:style w:type="character" w:styleId="WW8Num2z5">
    <w:name w:val="WW8Num2z5"/>
    <w:rPr/>
  </w:style>
  <w:style w:type="character" w:styleId="WW8Num2z6">
    <w:name w:val="WW8Num2z6"/>
    <w:rPr/>
  </w:style>
  <w:style w:type="character" w:styleId="WW8Num2z7">
    <w:name w:val="WW8Num2z7"/>
    <w:rPr/>
  </w:style>
  <w:style w:type="character" w:styleId="WW8Num2z8">
    <w:name w:val="WW8Num2z8"/>
    <w:rPr/>
  </w:style>
  <w:style w:type="character" w:styleId="WW8Num3z0">
    <w:name w:val="WW8Num3z0"/>
    <w:rPr>
      <w:rFonts w:cs="Times New Roman"/>
    </w:rPr>
  </w:style>
  <w:style w:type="character" w:styleId="WW8Num3z1">
    <w:name w:val="WW8Num3z1"/>
    <w:rPr/>
  </w:style>
  <w:style w:type="character" w:styleId="WW8Num3z2">
    <w:name w:val="WW8Num3z2"/>
    <w:rPr/>
  </w:style>
  <w:style w:type="character" w:styleId="WW8Num3z3">
    <w:name w:val="WW8Num3z3"/>
    <w:rPr/>
  </w:style>
  <w:style w:type="character" w:styleId="WW8Num3z4">
    <w:name w:val="WW8Num3z4"/>
    <w:rPr/>
  </w:style>
  <w:style w:type="character" w:styleId="WW8Num3z5">
    <w:name w:val="WW8Num3z5"/>
    <w:rPr/>
  </w:style>
  <w:style w:type="character" w:styleId="WW8Num3z6">
    <w:name w:val="WW8Num3z6"/>
    <w:rPr/>
  </w:style>
  <w:style w:type="character" w:styleId="WW8Num3z7">
    <w:name w:val="WW8Num3z7"/>
    <w:rPr/>
  </w:style>
  <w:style w:type="character" w:styleId="WW8Num3z8">
    <w:name w:val="WW8Num3z8"/>
    <w:rPr/>
  </w:style>
  <w:style w:type="character" w:styleId="WW8Num4z0">
    <w:name w:val="WW8Num4z0"/>
    <w:rPr>
      <w:rFonts w:ascii="Symbol" w:hAnsi="Symbol" w:cs="Symbol"/>
      <w:sz w:val="20"/>
    </w:rPr>
  </w:style>
  <w:style w:type="character" w:styleId="WW8Num4z1">
    <w:name w:val="WW8Num4z1"/>
    <w:rPr>
      <w:rFonts w:ascii="Courier New" w:hAnsi="Courier New" w:cs="Courier New"/>
      <w:sz w:val="20"/>
    </w:rPr>
  </w:style>
  <w:style w:type="character" w:styleId="WW8Num4z2">
    <w:name w:val="WW8Num4z2"/>
    <w:rPr>
      <w:rFonts w:ascii="Wingdings" w:hAnsi="Wingdings" w:cs="Wingdings"/>
      <w:sz w:val="20"/>
    </w:rPr>
  </w:style>
  <w:style w:type="character" w:styleId="WW8Num5z0">
    <w:name w:val="WW8Num5z0"/>
    <w:rPr>
      <w:rFonts w:ascii="Symbol" w:hAnsi="Symbol" w:cs="Symbol"/>
    </w:rPr>
  </w:style>
  <w:style w:type="character" w:styleId="WW8Num5z1">
    <w:name w:val="WW8Num5z1"/>
    <w:rPr>
      <w:rFonts w:ascii="Courier New" w:hAnsi="Courier New" w:cs="Courier New"/>
    </w:rPr>
  </w:style>
  <w:style w:type="character" w:styleId="WW8Num5z2">
    <w:name w:val="WW8Num5z2"/>
    <w:rPr>
      <w:rFonts w:ascii="Wingdings" w:hAnsi="Wingdings" w:cs="Wingdings"/>
    </w:rPr>
  </w:style>
  <w:style w:type="character" w:styleId="WW8Num6z0">
    <w:name w:val="WW8Num6z0"/>
    <w:rPr>
      <w:color w:val="1F497D"/>
    </w:rPr>
  </w:style>
  <w:style w:type="character" w:styleId="WW8Num6z1">
    <w:name w:val="WW8Num6z1"/>
    <w:rPr/>
  </w:style>
  <w:style w:type="character" w:styleId="WW8Num6z2">
    <w:name w:val="WW8Num6z2"/>
    <w:rPr/>
  </w:style>
  <w:style w:type="character" w:styleId="WW8Num6z3">
    <w:name w:val="WW8Num6z3"/>
    <w:rPr/>
  </w:style>
  <w:style w:type="character" w:styleId="WW8Num6z4">
    <w:name w:val="WW8Num6z4"/>
    <w:rPr/>
  </w:style>
  <w:style w:type="character" w:styleId="WW8Num6z5">
    <w:name w:val="WW8Num6z5"/>
    <w:rPr/>
  </w:style>
  <w:style w:type="character" w:styleId="WW8Num6z6">
    <w:name w:val="WW8Num6z6"/>
    <w:rPr/>
  </w:style>
  <w:style w:type="character" w:styleId="WW8Num6z7">
    <w:name w:val="WW8Num6z7"/>
    <w:rPr/>
  </w:style>
  <w:style w:type="character" w:styleId="WW8Num6z8">
    <w:name w:val="WW8Num6z8"/>
    <w:rPr/>
  </w:style>
  <w:style w:type="character" w:styleId="WW8Num7z0">
    <w:name w:val="WW8Num7z0"/>
    <w:rPr/>
  </w:style>
  <w:style w:type="character" w:styleId="WW8Num7z1">
    <w:name w:val="WW8Num7z1"/>
    <w:rPr/>
  </w:style>
  <w:style w:type="character" w:styleId="WW8Num7z2">
    <w:name w:val="WW8Num7z2"/>
    <w:rPr/>
  </w:style>
  <w:style w:type="character" w:styleId="WW8Num7z3">
    <w:name w:val="WW8Num7z3"/>
    <w:rPr/>
  </w:style>
  <w:style w:type="character" w:styleId="WW8Num7z4">
    <w:name w:val="WW8Num7z4"/>
    <w:rPr/>
  </w:style>
  <w:style w:type="character" w:styleId="WW8Num7z5">
    <w:name w:val="WW8Num7z5"/>
    <w:rPr/>
  </w:style>
  <w:style w:type="character" w:styleId="WW8Num7z6">
    <w:name w:val="WW8Num7z6"/>
    <w:rPr/>
  </w:style>
  <w:style w:type="character" w:styleId="WW8Num7z7">
    <w:name w:val="WW8Num7z7"/>
    <w:rPr/>
  </w:style>
  <w:style w:type="character" w:styleId="WW8Num7z8">
    <w:name w:val="WW8Num7z8"/>
    <w:rPr/>
  </w:style>
  <w:style w:type="character" w:styleId="WW8Num8z0">
    <w:name w:val="WW8Num8z0"/>
    <w:rPr>
      <w:b/>
    </w:rPr>
  </w:style>
  <w:style w:type="character" w:styleId="WW8Num8z1">
    <w:name w:val="WW8Num8z1"/>
    <w:rPr/>
  </w:style>
  <w:style w:type="character" w:styleId="WW8Num8z2">
    <w:name w:val="WW8Num8z2"/>
    <w:rPr/>
  </w:style>
  <w:style w:type="character" w:styleId="WW8Num8z3">
    <w:name w:val="WW8Num8z3"/>
    <w:rPr/>
  </w:style>
  <w:style w:type="character" w:styleId="WW8Num8z4">
    <w:name w:val="WW8Num8z4"/>
    <w:rPr/>
  </w:style>
  <w:style w:type="character" w:styleId="WW8Num8z5">
    <w:name w:val="WW8Num8z5"/>
    <w:rPr/>
  </w:style>
  <w:style w:type="character" w:styleId="WW8Num8z6">
    <w:name w:val="WW8Num8z6"/>
    <w:rPr/>
  </w:style>
  <w:style w:type="character" w:styleId="WW8Num8z7">
    <w:name w:val="WW8Num8z7"/>
    <w:rPr/>
  </w:style>
  <w:style w:type="character" w:styleId="WW8Num8z8">
    <w:name w:val="WW8Num8z8"/>
    <w:rPr/>
  </w:style>
  <w:style w:type="character" w:styleId="WW8Num9z0">
    <w:name w:val="WW8Num9z0"/>
    <w:rPr>
      <w:rFonts w:ascii="Symbol" w:hAnsi="Symbol" w:cs="Symbol"/>
    </w:rPr>
  </w:style>
  <w:style w:type="character" w:styleId="WW8Num9z1">
    <w:name w:val="WW8Num9z1"/>
    <w:rPr>
      <w:rFonts w:ascii="Courier New" w:hAnsi="Courier New" w:cs="Courier New"/>
    </w:rPr>
  </w:style>
  <w:style w:type="character" w:styleId="WW8Num9z2">
    <w:name w:val="WW8Num9z2"/>
    <w:rPr>
      <w:rFonts w:ascii="Wingdings" w:hAnsi="Wingdings" w:cs="Wingdings"/>
    </w:rPr>
  </w:style>
  <w:style w:type="character" w:styleId="WW8Num10z0">
    <w:name w:val="WW8Num10z0"/>
    <w:rPr>
      <w:rFonts w:ascii="Symbol" w:hAnsi="Symbol" w:cs="Symbol"/>
    </w:rPr>
  </w:style>
  <w:style w:type="character" w:styleId="WW8Num10z1">
    <w:name w:val="WW8Num10z1"/>
    <w:rPr>
      <w:rFonts w:ascii="Courier New" w:hAnsi="Courier New" w:cs="Courier New"/>
    </w:rPr>
  </w:style>
  <w:style w:type="character" w:styleId="WW8Num10z2">
    <w:name w:val="WW8Num10z2"/>
    <w:rPr>
      <w:rFonts w:ascii="Wingdings" w:hAnsi="Wingdings" w:cs="Wingdings"/>
    </w:rPr>
  </w:style>
  <w:style w:type="character" w:styleId="WW8Num11z0">
    <w:name w:val="WW8Num11z0"/>
    <w:rPr>
      <w:rFonts w:ascii="Arial" w:hAnsi="Arial" w:cs="Times New Roman"/>
    </w:rPr>
  </w:style>
  <w:style w:type="character" w:styleId="WW8Num11z2">
    <w:name w:val="WW8Num11z2"/>
    <w:rPr/>
  </w:style>
  <w:style w:type="character" w:styleId="WW8Num11z3">
    <w:name w:val="WW8Num11z3"/>
    <w:rPr/>
  </w:style>
  <w:style w:type="character" w:styleId="WW8Num11z4">
    <w:name w:val="WW8Num11z4"/>
    <w:rPr/>
  </w:style>
  <w:style w:type="character" w:styleId="WW8Num11z5">
    <w:name w:val="WW8Num11z5"/>
    <w:rPr/>
  </w:style>
  <w:style w:type="character" w:styleId="WW8Num11z6">
    <w:name w:val="WW8Num11z6"/>
    <w:rPr/>
  </w:style>
  <w:style w:type="character" w:styleId="WW8Num11z7">
    <w:name w:val="WW8Num11z7"/>
    <w:rPr/>
  </w:style>
  <w:style w:type="character" w:styleId="WW8Num11z8">
    <w:name w:val="WW8Num11z8"/>
    <w:rPr/>
  </w:style>
  <w:style w:type="character" w:styleId="WW8NumSt3z0">
    <w:name w:val="WW8NumSt3z0"/>
    <w:rPr>
      <w:rFonts w:ascii="WP TypographicSymbols" w:hAnsi="WP TypographicSymbols" w:cs="WP TypographicSymbols"/>
    </w:rPr>
  </w:style>
  <w:style w:type="character" w:styleId="DefaultParagraphFont">
    <w:name w:val="Default Paragraph Font"/>
    <w:rPr/>
  </w:style>
  <w:style w:type="character" w:styleId="InternetLink">
    <w:name w:val="Internet Link"/>
    <w:basedOn w:val="DefaultParagraphFont"/>
    <w:rPr>
      <w:rFonts w:ascii="Verdana" w:hAnsi="Verdana" w:cs="Times New Roman"/>
      <w:strike w:val="false"/>
      <w:dstrike w:val="false"/>
      <w:color w:val="99CCFF"/>
      <w:sz w:val="20"/>
      <w:szCs w:val="20"/>
      <w:u w:val="none"/>
    </w:rPr>
  </w:style>
  <w:style w:type="character" w:styleId="VisitedInternetLink">
    <w:name w:val="Visited Internet Link"/>
    <w:basedOn w:val="DefaultParagraphFont"/>
    <w:rPr>
      <w:color w:val="800080"/>
      <w:u w:val="single"/>
    </w:rPr>
  </w:style>
  <w:style w:type="character" w:styleId="CommentReference">
    <w:name w:val="Comment Reference"/>
    <w:basedOn w:val="DefaultParagraphFont"/>
    <w:rPr>
      <w:sz w:val="16"/>
      <w:szCs w:val="16"/>
    </w:rPr>
  </w:style>
  <w:style w:type="character" w:styleId="Articleheading11">
    <w:name w:val="articleheading11"/>
    <w:basedOn w:val="DefaultParagraphFont"/>
    <w:rPr>
      <w:b/>
      <w:bCs/>
      <w:color w:val="536895"/>
    </w:rPr>
  </w:style>
  <w:style w:type="character" w:styleId="StrongEmphasis">
    <w:name w:val="Strong Emphasis"/>
    <w:basedOn w:val="DefaultParagraphFont"/>
    <w:rPr>
      <w:b/>
      <w:bCs/>
    </w:rPr>
  </w:style>
  <w:style w:type="character" w:styleId="Heading3Char">
    <w:name w:val="Heading 3 Char"/>
    <w:basedOn w:val="DefaultParagraphFont"/>
    <w:rPr>
      <w:rFonts w:ascii="Cambria" w:hAnsi="Cambria" w:eastAsia="Times New Roman" w:cs="Times New Roman"/>
      <w:b/>
      <w:bCs/>
      <w:sz w:val="26"/>
      <w:szCs w:val="26"/>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before="0" w:after="120"/>
    </w:pPr>
    <w:rPr>
      <w:rFonts w:ascii="Verdana" w:hAnsi="Verdana" w:cs="Verdana"/>
      <w:sz w:val="20"/>
      <w:szCs w:val="20"/>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CommentText">
    <w:name w:val="Comment Text"/>
    <w:basedOn w:val="Normal"/>
    <w:pPr/>
    <w:rPr>
      <w:sz w:val="20"/>
      <w:szCs w:val="20"/>
    </w:rPr>
  </w:style>
  <w:style w:type="paragraph" w:styleId="CommentSubject">
    <w:name w:val="Comment Subject"/>
    <w:basedOn w:val="CommentText"/>
    <w:next w:val="CommentText"/>
    <w:pPr/>
    <w:rPr>
      <w:b/>
      <w:bCs/>
    </w:rPr>
  </w:style>
  <w:style w:type="paragraph" w:styleId="BalloonText">
    <w:name w:val="Balloon Text"/>
    <w:basedOn w:val="Normal"/>
    <w:pPr/>
    <w:rPr>
      <w:rFonts w:ascii="Tahoma" w:hAnsi="Tahoma" w:cs="Tahoma"/>
      <w:sz w:val="16"/>
      <w:szCs w:val="16"/>
    </w:rPr>
  </w:style>
  <w:style w:type="paragraph" w:styleId="NewsletterTitle">
    <w:name w:val="Newsletter Title"/>
    <w:basedOn w:val="Normal"/>
    <w:pPr>
      <w:jc w:val="center"/>
    </w:pPr>
    <w:rPr>
      <w:rFonts w:ascii="Trebuchet MS" w:hAnsi="Trebuchet MS" w:cs="Trebuchet MS"/>
      <w:color w:val="0066CC"/>
      <w:sz w:val="60"/>
    </w:rPr>
  </w:style>
  <w:style w:type="paragraph" w:styleId="NewsletterDate">
    <w:name w:val="Newsletter Date"/>
    <w:basedOn w:val="Normal"/>
    <w:pPr>
      <w:tabs>
        <w:tab w:val="right" w:pos="10210" w:leader="none"/>
      </w:tabs>
      <w:spacing w:before="120" w:after="120"/>
    </w:pPr>
    <w:rPr>
      <w:rFonts w:ascii="Trebuchet MS" w:hAnsi="Trebuchet MS" w:cs="Trebuchet MS"/>
      <w:b/>
      <w:bCs/>
      <w:color w:val="FFFFFF"/>
      <w:sz w:val="20"/>
      <w:szCs w:val="20"/>
    </w:rPr>
  </w:style>
  <w:style w:type="paragraph" w:styleId="TableofContentsHeading">
    <w:name w:val="Table of Contents Heading"/>
    <w:basedOn w:val="Normal"/>
    <w:pPr>
      <w:spacing w:before="240" w:after="0"/>
    </w:pPr>
    <w:rPr>
      <w:rFonts w:ascii="Trebuchet MS" w:hAnsi="Trebuchet MS" w:cs="Trebuchet MS"/>
      <w:color w:val="FFFF99"/>
      <w:sz w:val="32"/>
      <w:szCs w:val="32"/>
    </w:rPr>
  </w:style>
  <w:style w:type="paragraph" w:styleId="TableofContentsEntry">
    <w:name w:val="Table of Contents Entry"/>
    <w:basedOn w:val="Normal"/>
    <w:pPr>
      <w:numPr>
        <w:ilvl w:val="0"/>
        <w:numId w:val="2"/>
      </w:numPr>
      <w:spacing w:before="0" w:after="120"/>
    </w:pPr>
    <w:rPr>
      <w:rFonts w:ascii="Verdana" w:hAnsi="Verdana" w:cs="Verdana"/>
      <w:color w:val="FFFFFF"/>
      <w:sz w:val="20"/>
      <w:szCs w:val="20"/>
    </w:rPr>
  </w:style>
  <w:style w:type="paragraph" w:styleId="SideBarHeading">
    <w:name w:val="Side Bar Heading"/>
    <w:basedOn w:val="Normal"/>
    <w:pPr>
      <w:keepNext/>
      <w:spacing w:before="480" w:after="0"/>
    </w:pPr>
    <w:rPr>
      <w:rFonts w:ascii="Trebuchet MS" w:hAnsi="Trebuchet MS" w:cs="Trebuchet MS"/>
      <w:b/>
      <w:bCs/>
      <w:color w:val="FFFF99"/>
      <w:sz w:val="22"/>
    </w:rPr>
  </w:style>
  <w:style w:type="paragraph" w:styleId="Links">
    <w:name w:val="Links"/>
    <w:basedOn w:val="Normal"/>
    <w:pPr>
      <w:spacing w:before="120" w:after="0"/>
    </w:pPr>
    <w:rPr>
      <w:rFonts w:ascii="Verdana" w:hAnsi="Verdana" w:cs="Verdana"/>
      <w:color w:val="99CCFF"/>
      <w:sz w:val="20"/>
      <w:szCs w:val="20"/>
    </w:rPr>
  </w:style>
  <w:style w:type="paragraph" w:styleId="LinksDescriptiveText">
    <w:name w:val="Links Descriptive Text"/>
    <w:basedOn w:val="Normal"/>
    <w:pPr>
      <w:keepLines/>
    </w:pPr>
    <w:rPr>
      <w:rFonts w:ascii="Verdana" w:hAnsi="Verdana" w:cs="Verdana"/>
      <w:b/>
      <w:i/>
      <w:iCs/>
      <w:color w:val="FFFFFF"/>
      <w:sz w:val="16"/>
      <w:szCs w:val="18"/>
    </w:rPr>
  </w:style>
  <w:style w:type="paragraph" w:styleId="VolumeandIssue">
    <w:name w:val="Volume and Issue"/>
    <w:basedOn w:val="NewsletterDate"/>
    <w:pPr>
      <w:jc w:val="right"/>
    </w:pPr>
    <w:rPr/>
  </w:style>
  <w:style w:type="paragraph" w:styleId="SubjectLine">
    <w:name w:val="Subject Line"/>
    <w:basedOn w:val="Normal"/>
    <w:next w:val="TextBody"/>
    <w:pPr>
      <w:spacing w:before="0" w:after="220"/>
      <w:ind w:left="835" w:right="-360" w:hanging="0"/>
    </w:pPr>
    <w:rPr>
      <w:rFonts w:ascii="Arial" w:hAnsi="Arial" w:cs="Arial"/>
      <w:b/>
      <w:spacing w:val="-6"/>
      <w:sz w:val="18"/>
      <w:szCs w:val="20"/>
      <w:lang w:val="en-AU"/>
    </w:rPr>
  </w:style>
  <w:style w:type="paragraph" w:styleId="NormalWeb">
    <w:name w:val="Normal (Web)"/>
    <w:basedOn w:val="Normal"/>
    <w:pPr>
      <w:spacing w:before="280" w:after="280"/>
    </w:pPr>
    <w:rPr/>
  </w:style>
  <w:style w:type="paragraph" w:styleId="ListParagraph">
    <w:name w:val="List Paragraph"/>
    <w:basedOn w:val="Normal"/>
    <w:pPr>
      <w:ind w:left="720" w:right="0" w:hanging="0"/>
    </w:pPr>
    <w:rPr>
      <w:rFonts w:ascii="Calibri" w:hAnsi="Calibri" w:eastAsia="Calibri" w:cs="Calibri"/>
      <w:sz w:val="22"/>
      <w:szCs w:val="22"/>
    </w:rPr>
  </w:style>
  <w:style w:type="paragraph" w:styleId="FrameContents">
    <w:name w:val="Frame Contents"/>
    <w:basedOn w:val="Normal"/>
    <w:pPr/>
    <w:rPr/>
  </w:style>
  <w:style w:type="paragraph" w:styleId="TableContents">
    <w:name w:val="Table Contents"/>
    <w:basedOn w:val="Normal"/>
    <w:pPr>
      <w:suppressLineNumbers/>
    </w:pPr>
    <w:rPr/>
  </w:style>
  <w:style w:type="paragraph" w:styleId="TableHeading">
    <w:name w:val="Table Heading"/>
    <w:basedOn w:val="TableContents"/>
    <w:pPr>
      <w:suppressLineNumbers/>
      <w:jc w:val="center"/>
    </w:pPr>
    <w:rPr>
      <w:b/>
      <w:bCs/>
    </w:rPr>
  </w:style>
  <w:style w:type="numbering" w:styleId="WW8Num1">
    <w:name w:val="WW8Num1"/>
  </w:style>
  <w:style w:type="numbering" w:styleId="WW8Num2">
    <w:name w:val="WW8Num2"/>
  </w:style>
  <w:style w:type="numbering" w:styleId="WW8Num3">
    <w:name w:val="WW8Num3"/>
  </w:style>
  <w:style w:type="numbering" w:styleId="WW8Num4">
    <w:name w:val="WW8Num4"/>
  </w:style>
  <w:style w:type="numbering" w:styleId="WW8Num5">
    <w:name w:val="WW8Num5"/>
  </w:style>
  <w:style w:type="numbering" w:styleId="WW8Num6">
    <w:name w:val="WW8Num6"/>
  </w:style>
  <w:style w:type="numbering" w:styleId="WW8Num7">
    <w:name w:val="WW8Num7"/>
  </w:style>
  <w:style w:type="numbering" w:styleId="WW8Num8">
    <w:name w:val="WW8Num8"/>
  </w:style>
  <w:style w:type="numbering" w:styleId="WW8Num9">
    <w:name w:val="WW8Num9"/>
  </w:style>
  <w:style w:type="numbering" w:styleId="WW8Num10">
    <w:name w:val="WW8Num10"/>
  </w:style>
  <w:style w:type="numbering" w:styleId="WW8Num11">
    <w:name w:val="WW8Num11"/>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blink.ucsd.edu/Blink/External/Topics/Policy/0,1162,24133,00.html" TargetMode="External"/><Relationship Id="rId4" Type="http://schemas.openxmlformats.org/officeDocument/2006/relationships/hyperlink" Target="http://blink.ucsd.edu/Blink/External/Topics/Sponsor/0,1362,4220,00.html?delivery=&amp;coming_from=" TargetMode="External"/><Relationship Id="rId5" Type="http://schemas.openxmlformats.org/officeDocument/2006/relationships/hyperlink" Target="http://blink.ucsd.edu/Blink/External/Topics/Policy/0,1162,22773,00.html" TargetMode="External"/><Relationship Id="rId6" Type="http://schemas.openxmlformats.org/officeDocument/2006/relationships/hyperlink" Target="http://blink.ucsd.edu/Blink/External/Topics/Policy/0,1162,12346,00.html" TargetMode="External"/><Relationship Id="rId7" Type="http://schemas.openxmlformats.org/officeDocument/2006/relationships/hyperlink" Target="http://blink.ucsd.edu/Blink/External/Topics/Policy/0,1162,12346,00.html" TargetMode="External"/><Relationship Id="rId8" Type="http://schemas.openxmlformats.org/officeDocument/2006/relationships/hyperlink" Target="mailto:acarlsson@ucsd.edu?subject=Newsletter Feedback" TargetMode="External"/><Relationship Id="rId9" Type="http://schemas.openxmlformats.org/officeDocument/2006/relationships/hyperlink" Target="mailto:sstemarie@ucsd.edu?subject=Newsletter Feedback" TargetMode="External"/><Relationship Id="rId10" Type="http://schemas.openxmlformats.org/officeDocument/2006/relationships/hyperlink" Target="mailto:cegan@ucsd.edu; jstaffiero@ucsd.edu?subject=Newsletter Feedback" TargetMode="External"/><Relationship Id="rId11" Type="http://schemas.openxmlformats.org/officeDocument/2006/relationships/hyperlink" Target="mailto:mtrivino@ucsd.edu, jzlopez@ucsd.edu?subject=Newsletter Feedback" TargetMode="External"/><Relationship Id="rId12" Type="http://schemas.openxmlformats.org/officeDocument/2006/relationships/hyperlink" Target="mailto:rcolio@ucsd.edu?subject=Newsletter Feedback" TargetMode="External"/><Relationship Id="rId13" Type="http://schemas.openxmlformats.org/officeDocument/2006/relationships/hyperlink" Target="mailto:eturinr@ucsd.edu" TargetMode="External"/><Relationship Id="rId14" Type="http://schemas.openxmlformats.org/officeDocument/2006/relationships/hyperlink" Target="mailto:gacommteam@ucsd.edu" TargetMode="External"/><Relationship Id="rId15" Type="http://schemas.openxmlformats.org/officeDocument/2006/relationships/hyperlink" Target="http://blink.ucsd.edu/Blink/External/Topics/Policy/0,1162,385,00.html" TargetMode="External"/><Relationship Id="rId16" Type="http://schemas.openxmlformats.org/officeDocument/2006/relationships/hyperlink" Target="mailto:gacommteam@ucsd.edu" TargetMode="External"/><Relationship Id="rId17" Type="http://schemas.openxmlformats.org/officeDocument/2006/relationships/hyperlink" Target="mailto:gacommteam@ucsd.edu?subject=Subscribe to GA Newsletter" TargetMode="External"/><Relationship Id="rId18" Type="http://schemas.openxmlformats.org/officeDocument/2006/relationships/hyperlink" Target="http://blink.ucsd.edu/sponsor/budgetline/what-ucsd-is-doing.html" TargetMode="External"/><Relationship Id="rId19" Type="http://schemas.openxmlformats.org/officeDocument/2006/relationships/hyperlink" Target="https://enrollmentcentral.ucsd.edu/sed_course.cfm?&amp;cdcrs=INTROCAMS" TargetMode="External"/><Relationship Id="rId20" Type="http://schemas.openxmlformats.org/officeDocument/2006/relationships/hyperlink" Target="https://enrollmentcentral.ucsd.edu/sed_course.cfm?&amp;cdcrs=INTROCAMS" TargetMode="External"/><Relationship Id="rId21" Type="http://schemas.openxmlformats.org/officeDocument/2006/relationships/image" Target="media/image2.wmf"/><Relationship Id="rId22" Type="http://schemas.openxmlformats.org/officeDocument/2006/relationships/hyperlink" Target="http://blink.ucsd.edu/finance/equipment/index.html" TargetMode="External"/><Relationship Id="rId23" Type="http://schemas.openxmlformats.org/officeDocument/2006/relationships/hyperlink" Target="mailto:bankwires@ucsd.edu" TargetMode="External"/><Relationship Id="rId24" Type="http://schemas.openxmlformats.org/officeDocument/2006/relationships/hyperlink" Target="http://www-bfs.ucsd.edu/gen/bankcash/wire/LostWeb.pdf" TargetMode="External"/><Relationship Id="rId25" Type="http://schemas.openxmlformats.org/officeDocument/2006/relationships/hyperlink" Target="mailto:bankwires@ucsd.edu" TargetMode="External"/><Relationship Id="rId26" Type="http://schemas.openxmlformats.org/officeDocument/2006/relationships/hyperlink" Target="http://blink.ucsd.edu/Blink/External/Topics/Policy/0,1162,20031,00.html" TargetMode="External"/><Relationship Id="rId27" Type="http://schemas.openxmlformats.org/officeDocument/2006/relationships/hyperlink" Target="http://blink.ucsd.edu/Blink/External/Topics/Policy/0,1162,12346,00.html" TargetMode="External"/><Relationship Id="rId28" Type="http://schemas.openxmlformats.org/officeDocument/2006/relationships/hyperlink" Target="http://www-bfs.ucsd.edu/gen/bankcash/cash/UNDISWEB.PDF" TargetMode="External"/><Relationship Id="rId29" Type="http://schemas.openxmlformats.org/officeDocument/2006/relationships/hyperlink" Target="mailto:undiscas@ucsd.edu?subject=Blink Page: Undistributed Cash" TargetMode="External"/><Relationship Id="rId30" Type="http://schemas.openxmlformats.org/officeDocument/2006/relationships/numbering" Target="numbering.xml"/><Relationship Id="rId31" Type="http://schemas.openxmlformats.org/officeDocument/2006/relationships/fontTable" Target="fontTable.xml"/><Relationship Id="rId32"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1367256704</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2010-02-05T21:46:00Z</dcterms:created>
  <dc:language>en-IN</dc:language>
  <cp:lastPrinted>2006-07-20T11:34:00Z</cp:lastPrinted>
  <dcterms:modified xsi:type="dcterms:W3CDTF">2010-02-08T22:09:00Z</dcterms:modified>
  <cp:revision>1</cp:revision>
  <dc:title> </dc:title>
</cp:coreProperties>
</file>